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bookmarkStart w:colFirst="0" w:colLast="0" w:name="_sks24joreeq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Literature Mapping with AI Tools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n79rmw8whx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Research Topic Chosen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Artificial Intelligence in Healthcare Diagnostics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topic focuses on how AI algorithms, particularly machine learning and deep learning models, are being applied to interpret medical data for diagnosis, prognosis, and treatment recommendations.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qjvj9sgnet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Exploration Process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ResearchRabbit and Connected Papers to explore the topic starting from a few seed papers I already knew, such as “Deep Learning for Health Informatics” (Miotto et al., 2018). The process involved:</w:t>
        <w:br w:type="textWrapping"/>
        <w:t xml:space="preserve"> - ResearchRabbit: I added the seed paper to a collection, then explored “Similar works” and “Cited by” graphs to identify closely connected papers.</w:t>
        <w:br w:type="textWrapping"/>
        <w:t xml:space="preserve"> - Connected Papers: I entered the seed paper’s DOI, generated a graph of related research, and observed clusters representing sub-themes like image-based diagnosis, natural language processing in healthcare, and AI ethics.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ve4ih3xux5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New Relevant Papers Found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Esteva, A., et al. (2017). “Dermatologist-level classification of skin cancer with deep neural networks.” Nature, 542, 115–118.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Introduces a deep learning approach for classifying skin lesions, achieving dermatologist-level performance. Expands the scope of my literature beyond general AI healthcare applications to domain-specific case studies.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Topol, E. (2019). “High-performance medicine: the convergence of human and artificial intelligence.” Nature Medicine, 25(1), 44–56.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Discusses AI’s integration into healthcare from a systems and human-centric perspective. Highlights regulatory, ethical, and trust-related aspects—broadening my perspective to include implementation challenges.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Liu, X., et al. (2019). “A comparison of deep learning performance against health-care professionals in detecting diseases from medical imaging: a systematic review and meta-analysis.” The Lancet Digital Health, 1(6), e271–e297.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a meta-analysis comparing AI and human performance, offering evidence-based insights. Helped me understand overall performance benchmarks and limitations.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kpiyfgdvz1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Reflection on Expanded Literature Search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mapping exercise reshaped my literature search in three ways:</w:t>
        <w:br w:type="textWrapping"/>
        <w:t xml:space="preserve">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Identifying Key Subfields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The visualization tools revealed clusters I had overlooked, such as AI for pathology slide analysis and voice-based diagnostics.</w:t>
        <w:br w:type="textWrapping"/>
        <w:t xml:space="preserve"> 2.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Bridging Technical and Practical Perspectives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Initially, my reading list focused heavily on AI model architecture. These tools helped me discover papers discussing clinical adoption, regulations, and patient trust.</w:t>
        <w:br w:type="textWrapping"/>
        <w:t xml:space="preserve"> 3.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Finding Seminal Papers Quickly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By following citation and similarity networks, I located highly cited and influential works that would have taken much longer to find using keyword searches alone.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iejxlyrx1h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Next Steps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- Conduct a focused review on AI adoption challenges in clinical settings (drawing from Topol, 2019).</w:t>
        <w:br w:type="textWrapping"/>
        <w:t xml:space="preserve"> - Explore domain-specific AI diagnostic studies (like Esteva et al., 2017) for comparative analysis.</w:t>
        <w:br w:type="textWrapping"/>
        <w:t xml:space="preserve"> - Track the most recent publications in The Lancet Digital Health and Nature Medicine using ResearchRabbit alerts.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