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Lift Right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PACT Analysis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CET257 Enterprise Project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Assignment 1, Task A1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sz w:val="24"/>
          <w:szCs w:val="24"/>
          <w:rtl w:val="0"/>
          <w:lang w:val="en-US"/>
        </w:rPr>
        <w:t>Team Speed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Why PACT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PACT (People, Activities, Contexts, Technologies) was chosen over a purely feature-driven requirements pass because Lift Right's biggest design risks are not technical, they are situational: a shared warehouse PC, a worker who has never used a first-person control scheme, and a five-minute training slot squeezed between shifts. PACT forces those conditions to be written down before any interface or checkpoint content is designed, so decisions are traceable back to a real constraint rather than to what looked good in a mock-up. Each section below ends with the design consequence the team drew from it, and Section 6 lists the concrete build decisions that trace back to this analysis.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2. People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0"/>
        <w:gridCol w:w="3625"/>
        <w:gridCol w:w="362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Attribute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What we found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Design consequence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Warehouse operatives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Wide range of ages, physical fitness and prior digital/gaming experience; some are new starters on their first day.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Controls limited to look (mouse) and W-A-S-D movement, with a short pre-start briefing screen rather than an in-depth tutorial.</w:t>
            </w:r>
          </w:p>
        </w:tc>
      </w:tr>
      <w:tr>
        <w:tblPrEx>
          <w:shd w:val="clear" w:color="auto" w:fill="ced7e7"/>
        </w:tblPrEx>
        <w:trPr>
          <w:trHeight w:val="2090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Non-native English speakers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floor is expected to include workers for whom English is a second language.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Checkpoint prompts and quiz questions are written as short, plain sentences and paired with clear visual cues (highlighted load, marker colour) rather than relying on text alone.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Supervisors / training administrators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Time-poor, need a fast answer to "who is trained", not a technical audience and not expected to read logs.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Admin Command Center is a single summarised table (logins, attempts, time-on-task, best score) with a one-click CSV export rather than a raw data dump.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3. Activities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0"/>
        <w:gridCol w:w="3625"/>
        <w:gridCol w:w="362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Attribute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What we found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Design consequence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Completing training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Typically one short sitting of five to ten minutes, often fitted around shift start or a quiet moment on the floor.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six-checkpoint run was scoped to be completable in one sitting; progress is saved so an interrupted session is not lost.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Making safety decisions under pressure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Real lifting judgement calls (check the route, assess the load, pick a method) happen quickly, not with time to consult a manual.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Each checkpoint presents one decision at a time with a visible countdown, mirroring the pace of a real judgement call rather than an open-book quiz.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Reviewing competency records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Supervisors check who has completed training periodically, ahead of audits, or after an incident, rather than continuously.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Records persist between sessions and can be exported on demand, rather than requiring the supervisor to be present while training happens.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4. Contexts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00"/>
        <w:gridCol w:w="3625"/>
        <w:gridCol w:w="362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Attribute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What we found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Design consequence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Physical setting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Likely a shared workstation or break-room PC on the warehouse floor, possibly with background noise and limited privacy.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dependency on audio for critical information; all essential feedback (score, teaching card, timer) is shown on screen.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fr-FR"/>
              </w:rPr>
              <w:t>Interruptions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 session may be paused if a worker is called back to the floor mid-attempt.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Login and per-worker progress are stored client-side so a worker's account state survives being interrupted and returning later.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IT support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dedicated on-site IT support is assumed to install software or maintain a server for the prototype stage.</w:t>
            </w:r>
          </w:p>
        </w:tc>
        <w:tc>
          <w:tcPr>
            <w:tcW w:type="dxa" w:w="3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prototype was built as a single self-contained browser file requiring no installation, consistent with NFR6 in the Requirements document.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5. Technologies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50"/>
        <w:gridCol w:w="3450"/>
        <w:gridCol w:w="345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Technology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Decision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Rendering engine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Three.js, procedural geometry rather than large imported 3D asset files.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Keeps the scene lightweight enough to run on modest, shared warehouse PCs rather than requiring gaming-spec hardware.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Controls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Pointer-lock mouse-look plus W-A-S-D keyboard movement; no VR headset assumed.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Matches the standard desktop/laptop, mouse-and-keyboard hardware the client actually has on the warehouse floor.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Data persistence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Client-side storage (accounts, attempt history, best scores) rather than a live backend for the prototype.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guarantee of an on-site server for a first client trial; a backend is flagged as future work rather than assumed.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Delivery format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Single self-contained browser file, Chrome/Edge/Firefox.</w:t>
            </w:r>
          </w:p>
        </w:tc>
        <w:tc>
          <w:tcPr>
            <w:tcW w:type="dxa" w:w="3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 install or plugin requirement, so the client can trial the build on existing hardware immediately.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6. What PACT Changed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rPr>
          <w:rFonts w:ascii="Times New Roman" w:hAnsi="Times New Roman"/>
          <w:sz w:val="24"/>
          <w:szCs w:val="24"/>
          <w:rtl w:val="0"/>
          <w:lang w:val="en-US"/>
        </w:rPr>
        <w:t>Three concrete build decisions trace directly back to this analysis rather than being arbitrary implementation choices:</w:t>
      </w:r>
    </w:p>
    <w:p>
      <w:pPr>
        <w:pStyle w:val="Body"/>
        <w:widowControl w:val="0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Controls were fixed as mouse-look plus W-A-S-D early in Week 1, once the People and Technologies analysis ruled out assuming any VR or controller hardware on the warehouse floor.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2. Checkpoint and quiz text were kept deliberately short, and the interface avoids dense paragraphs, in direct response to the People finding on non-native English speakers and varying digital literacy.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rPr>
          <w:rFonts w:ascii="Times New Roman" w:hAnsi="Times New Roman"/>
          <w:sz w:val="24"/>
          <w:szCs w:val="24"/>
          <w:rtl w:val="0"/>
          <w:lang w:val="en-US"/>
        </w:rPr>
        <w:t>3. Client-side data persistence and the CSV export were adopted for this prototype stage specifically because of the Contexts finding that no on-site server could be assumed; the Requirements and System Requirement Analysis documents record this as a scoped decision to be revisited with a real backend in a later iteration, not a permanent architecture choice.</w:t>
      </w:r>
    </w:p>
    <w:sectPr>
      <w:headerReference w:type="default" r:id="rId4"/>
      <w:footerReference w:type="default" r:id="rId5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nothing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</w:tabs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