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【書類名】 要約書</w:t>
      </w:r>
    </w:p>
    <w:p>
      <w:pPr>
        <w:spacing w:after="120"/>
      </w:pPr>
    </w:p>
    <w:p>
      <w:pPr>
        <w:spacing w:after="120"/>
      </w:pPr>
    </w:p>
    <w:p>
      <w:pPr>
        <w:spacing w:after="120"/>
      </w:pPr>
    </w:p>
    <w:p>
      <w:pPr>
        <w:pStyle w:val="Heading2"/>
        <w:spacing w:after="120" w:before="240"/>
      </w:pPr>
      <w:r>
        <w:t xml:space="preserve">【要約】</w:t>
      </w:r>
    </w:p>
    <w:p>
      <w:pPr>
        <w:spacing w:after="120"/>
      </w:pPr>
    </w:p>
    <w:p>
      <w:pPr>
        <w:pStyle w:val="Heading3"/>
        <w:spacing w:after="120" w:before="240"/>
      </w:pPr>
      <w:r>
        <w:t xml:space="preserve">【課題】</w:t>
      </w:r>
    </w:p>
    <w:p>
      <w:pPr>
        <w:spacing w:after="120"/>
      </w:pPr>
    </w:p>
    <w:p>
      <w:pPr>
        <w:spacing w:after="120" w:line="360"/>
      </w:pPr>
      <w:r>
        <w:rPr>
          <w:rFonts w:ascii="游明朝" w:cs="游明朝" w:eastAsia="游明朝" w:hAnsi="游明朝"/>
          <w:sz w:val="22"/>
          <w:szCs w:val="22"/>
        </w:rPr>
        <w:t xml:space="preserve">音声データから生成される報告文書において、対象者の発達上の節目となる事象（発達イベント）の初回性を客観的に推定し、保護者が家庭において最初に目撃すべき事象を施設側から先に通知することによる誤通知を防止すること。</w:t>
      </w:r>
    </w:p>
    <w:p>
      <w:pPr>
        <w:spacing w:after="120"/>
      </w:pPr>
    </w:p>
    <w:p>
      <w:pPr>
        <w:pStyle w:val="Heading3"/>
        <w:spacing w:after="120" w:before="240"/>
      </w:pPr>
      <w:r>
        <w:t xml:space="preserve">【解決手段】</w:t>
      </w:r>
    </w:p>
    <w:p>
      <w:pPr>
        <w:spacing w:after="120"/>
      </w:pPr>
    </w:p>
    <w:p>
      <w:pPr>
        <w:spacing w:after="120" w:line="360"/>
      </w:pPr>
      <w:r>
        <w:rPr>
          <w:rFonts w:ascii="游明朝" w:cs="游明朝" w:eastAsia="游明朝" w:hAnsi="游明朝"/>
          <w:sz w:val="22"/>
          <w:szCs w:val="22"/>
        </w:rPr>
        <w:t xml:space="preserve">本発明の音声解析型保育支援装置は、音声認識手段と、対象者別抽出手段と、発達イベント検出手段と、初回性推定手段と、開示制御手段と、文書生成手段と、学習更新手段とを備える。発達イベント検出手段は、キーワード照合、文脈解析、機械学習分類のいずれか又はその組合せにより発達イベントを検出する。初回性推定手段は、過去履歴検索、類似文判定（意味ベクトルのコサイン類似度等）、発生頻度分析を実行し、0から1の範囲の初回性スコアを算出する。開示制御手段は、初回性スコア、開示適切性スコア、及びユーザ設定に基づき、各情報について「表示」「非表示」又は「保留」のいずれかを決定する。学習更新手段は、施設担当者からのフィードバックに基づき、検出モデル及び推定モデルを継続的に更新する。これにより、誤通知の防止、保護者体験の保護、業務効率化、及びAIによる精度向上を実現する。</w:t>
      </w:r>
    </w:p>
    <w:p>
      <w:pPr>
        <w:spacing w:after="120"/>
      </w:pPr>
    </w:p>
    <w:p>
      <w:pPr>
        <w:pStyle w:val="Heading3"/>
        <w:spacing w:after="120" w:before="240"/>
      </w:pPr>
      <w:r>
        <w:t xml:space="preserve">【選択図】 図２</w:t>
      </w:r>
    </w:p>
    <w:p>
      <w:pPr>
        <w:spacing w:after="120"/>
      </w:pPr>
    </w:p>
    <w:sectPr>
      <w:pgSz w:w="11906" w:h="16838" w:orient="portrait"/>
      <w:pgMar w:top="1699" w:right="1699" w:bottom="1699"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2026-04-09T18:58:15.614Z</dcterms:created>
  <dcterms:modified xsi:type="dcterms:W3CDTF">2026-04-09T18:58:15.614Z</dcterms:modified>
</cp:coreProperties>
</file>

<file path=docProps/custom.xml><?xml version="1.0" encoding="utf-8"?>
<Properties xmlns="http://schemas.openxmlformats.org/officeDocument/2006/custom-properties" xmlns:vt="http://schemas.openxmlformats.org/officeDocument/2006/docPropsVTypes"/>
</file>