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60"/>
      </w:pPr>
      <w:r>
        <w:t xml:space="preserve">FarsamoTech Repair Hub</w:t>
      </w:r>
    </w:p>
    <w:p>
      <w:pPr>
        <w:pStyle w:val="Subtitle"/>
        <w:spacing w:after="220"/>
      </w:pPr>
      <w:r>
        <w:t xml:space="preserve">End-to-End Platform Analysis and Improvement Roadmap</w:t>
      </w:r>
    </w:p>
    <w:p>
      <w:pPr>
        <w:spacing w:after="40"/>
      </w:pPr>
      <w:r>
        <w:rPr>
          <w:b/>
        </w:rPr>
        <w:t xml:space="preserve">Prepared for: </w:t>
      </w:r>
      <w:r>
        <w:t xml:space="preserve">FarsamoTech / XeelTech Solutions</w:t>
      </w:r>
    </w:p>
    <w:p>
      <w:pPr>
        <w:spacing w:after="40"/>
      </w:pPr>
      <w:r>
        <w:rPr>
          <w:b/>
        </w:rPr>
        <w:t xml:space="preserve">System focus: </w:t>
      </w:r>
      <w:r>
        <w:t xml:space="preserve">SIMAD University computer repair and maintenance workflow</w:t>
      </w:r>
    </w:p>
    <w:p>
      <w:pPr>
        <w:spacing w:after="40"/>
      </w:pPr>
      <w:r>
        <w:rPr>
          <w:b/>
        </w:rPr>
        <w:t xml:space="preserve">Prepared on: </w:t>
      </w:r>
      <w:r>
        <w:t xml:space="preserve">June 18, 2026</w:t>
      </w:r>
    </w:p>
    <w:p>
      <w:pPr>
        <w:spacing w:after="40"/>
      </w:pPr>
      <w:r>
        <w:rPr>
          <w:b/>
        </w:rPr>
        <w:t xml:space="preserve">Evidence reviewed: </w:t>
      </w:r>
      <w:r>
        <w:t xml:space="preserve">Project definition, architecture docs, Prisma schema, route structure, validations, tests, and current UI files</w:t>
      </w:r>
    </w:p>
    <w:p>
      <w:pPr>
        <w:spacing w:after="160"/>
        <w:pBdr>
          <w:bottom w:val="single" w:sz="8" w:space="8" w:color="2563EB"/>
        </w:pBdr>
      </w:pPr>
      <w:r>
        <w:t xml:space="preserve"/>
      </w:r>
    </w:p>
    <w:p>
      <w:pPr>
        <w:spacing w:after="140"/>
        <w:shd w:val="clear" w:color="auto" w:fill="EEF4FF"/>
      </w:pPr>
      <w:r>
        <w:rPr>
          <w:b/>
          <w:color w:val="0F172A"/>
        </w:rPr>
        <w:t xml:space="preserve">Executive position: </w:t>
      </w:r>
      <w:r>
        <w:t xml:space="preserve">The platform has reached a strong MVP foundation: core repair intake, role-based access, device records, ticket lifecycle, technician assignment, logs, notifications, dashboards, reports, QR lookup, photo upload validation, and account activation are implemented. The next maturity step is not another redesign; it is operational hardening, richer ticket metadata, stronger auditability, and production deployment discipline.</w:t>
      </w:r>
    </w:p>
    <w:p>
      <w:pPr>
        <w:pStyle w:val="Heading1"/>
      </w:pPr>
      <w:r>
        <w:t xml:space="preserve">1. What The Platform Solves</w:t>
      </w:r>
    </w:p>
    <w:p>
      <w:r>
        <w:t xml:space="preserve">FarsamoTech Repair Hub digitizes SIMAD University's computer maintenance process, replacing manual registration, paper tracking, and spreadsheet-based coordination with a centralized repair workflow. It gives students and lecturers a self-service repair channel, gives technicians a focused work queue, and gives administrators visibility into repair demand, assignments, status, and performance.</w:t>
      </w:r>
    </w:p>
    <w:p>
      <w:pPr>
        <w:numPr>
          <w:ilvl w:val="0"/>
          <w:numId w:val="1"/>
        </w:numPr>
      </w:pPr>
      <w:r>
        <w:t xml:space="preserve">Centralizes users, devices, repair tickets, logs, notifications, and analytics in one database.</w:t>
      </w:r>
    </w:p>
    <w:p>
      <w:pPr>
        <w:numPr>
          <w:ilvl w:val="0"/>
          <w:numId w:val="1"/>
        </w:numPr>
      </w:pPr>
      <w:r>
        <w:t xml:space="preserve">Creates a consistent repair journey instead of ad hoc status updates.</w:t>
      </w:r>
    </w:p>
    <w:p>
      <w:pPr>
        <w:numPr>
          <w:ilvl w:val="0"/>
          <w:numId w:val="1"/>
        </w:numPr>
      </w:pPr>
      <w:r>
        <w:t xml:space="preserve">Preserves repair history by user and device for future reference.</w:t>
      </w:r>
    </w:p>
    <w:p>
      <w:pPr>
        <w:numPr>
          <w:ilvl w:val="0"/>
          <w:numId w:val="1"/>
        </w:numPr>
      </w:pPr>
      <w:r>
        <w:t xml:space="preserve">Improves accountability by linking status changes and notes to assigned technician work.</w:t>
      </w:r>
    </w:p>
    <w:p>
      <w:pPr>
        <w:numPr>
          <w:ilvl w:val="0"/>
          <w:numId w:val="1"/>
        </w:numPr>
      </w:pPr>
      <w:r>
        <w:t xml:space="preserve">Gives admins operational reports for workload, faculty/device trends, common issues, and technician performance.</w:t>
      </w:r>
    </w:p>
    <w:p>
      <w:pPr>
        <w:pStyle w:val="Heading1"/>
      </w:pPr>
      <w:r>
        <w:t xml:space="preserve">2. Current Completion Snapshot</w:t>
      </w:r>
    </w:p>
    <w:tbl>
      <w:tblPr>
        <w:tblStyle w:val="TableGrid"/>
        <w:tblW w:w="9360" w:type="dxa"/>
        <w:tblInd w:w="120" w:type="dxa"/>
        <w:tblLayout w:type="fixed"/>
        <w:tblBorders>
          <w:top w:val="single" w:sz="4" w:color="D0D7E2"/>
          <w:left w:val="single" w:sz="4" w:color="D0D7E2"/>
          <w:bottom w:val="single" w:sz="4" w:color="D0D7E2"/>
          <w:right w:val="single" w:sz="4" w:color="D0D7E2"/>
          <w:insideH w:val="single" w:sz="4" w:color="D0D7E2"/>
          <w:insideV w:val="single" w:sz="4" w:color="D0D7E2"/>
        </w:tblBorders>
      </w:tblPr>
      <w:tblGrid>
        <w:gridCol w:w="1900"/>
        <w:gridCol w:w="5300"/>
        <w:gridCol w:w="2160"/>
      </w:tblGrid>
      <w:tr>
        <w:trPr>
          <w:tblHeader/>
        </w:trPr>
        <w:tc>
          <w:tcPr>
            <w:tcW w:w="1900" w:type="dxa"/>
            <w:vAlign w:val="center"/>
            <w:tcMar>
              <w:top w:w="80" w:type="dxa"/>
              <w:bottom w:w="80" w:type="dxa"/>
              <w:start w:w="120" w:type="dxa"/>
              <w:end w:w="120" w:type="dxa"/>
            </w:tcMar>
            <w:shd w:val="clear" w:color="auto" w:fill="F2F4F7"/>
          </w:tcPr>
          <w:p>
            <w:pPr>
              <w:spacing w:after="0" w:line="280" w:lineRule="auto"/>
            </w:pPr>
            <w:r>
              <w:rPr>
                <w:b/>
              </w:rPr>
              <w:t xml:space="preserve">Area</w:t>
            </w:r>
          </w:p>
        </w:tc>
        <w:tc>
          <w:tcPr>
            <w:tcW w:w="5300" w:type="dxa"/>
            <w:vAlign w:val="center"/>
            <w:tcMar>
              <w:top w:w="80" w:type="dxa"/>
              <w:bottom w:w="80" w:type="dxa"/>
              <w:start w:w="120" w:type="dxa"/>
              <w:end w:w="120" w:type="dxa"/>
            </w:tcMar>
            <w:shd w:val="clear" w:color="auto" w:fill="F2F4F7"/>
          </w:tcPr>
          <w:p>
            <w:pPr>
              <w:spacing w:after="0" w:line="280" w:lineRule="auto"/>
            </w:pPr>
            <w:r>
              <w:rPr>
                <w:b/>
              </w:rPr>
              <w:t xml:space="preserve">Current state</w:t>
            </w:r>
          </w:p>
        </w:tc>
        <w:tc>
          <w:tcPr>
            <w:tcW w:w="2160" w:type="dxa"/>
            <w:vAlign w:val="center"/>
            <w:tcMar>
              <w:top w:w="80" w:type="dxa"/>
              <w:bottom w:w="80" w:type="dxa"/>
              <w:start w:w="120" w:type="dxa"/>
              <w:end w:w="120" w:type="dxa"/>
            </w:tcMar>
            <w:shd w:val="clear" w:color="auto" w:fill="F2F4F7"/>
          </w:tcPr>
          <w:p>
            <w:pPr>
              <w:spacing w:after="0" w:line="280" w:lineRule="auto"/>
            </w:pPr>
            <w:r>
              <w:rPr>
                <w:b/>
              </w:rPr>
              <w:t xml:space="preserve">Assessment</w:t>
            </w:r>
          </w:p>
        </w:tc>
      </w:tr>
      <w:tr>
        <w:tc>
          <w:tcPr>
            <w:tcW w:w="1900" w:type="dxa"/>
            <w:vAlign w:val="center"/>
            <w:tcMar>
              <w:top w:w="80" w:type="dxa"/>
              <w:bottom w:w="80" w:type="dxa"/>
              <w:start w:w="120" w:type="dxa"/>
              <w:end w:w="120" w:type="dxa"/>
            </w:tcMar>
          </w:tcPr>
          <w:p>
            <w:pPr>
              <w:jc w:val="center"/>
              <w:spacing w:after="0" w:line="280" w:lineRule="auto"/>
            </w:pPr>
            <w:r>
              <w:t xml:space="preserve">Authentication</w:t>
            </w:r>
          </w:p>
        </w:tc>
        <w:tc>
          <w:tcPr>
            <w:tcW w:w="5300" w:type="dxa"/>
            <w:vAlign w:val="center"/>
            <w:tcMar>
              <w:top w:w="80" w:type="dxa"/>
              <w:bottom w:w="80" w:type="dxa"/>
              <w:start w:w="120" w:type="dxa"/>
              <w:end w:w="120" w:type="dxa"/>
            </w:tcMar>
          </w:tcPr>
          <w:p>
            <w:pPr>
              <w:spacing w:after="0" w:line="280" w:lineRule="auto"/>
            </w:pPr>
            <w:r>
              <w:t xml:space="preserve">Registration, login, logout, session cookie, current-user route, inactive-user blocking.</w:t>
            </w:r>
          </w:p>
        </w:tc>
        <w:tc>
          <w:tcPr>
            <w:tcW w:w="2160" w:type="dxa"/>
            <w:vAlign w:val="center"/>
            <w:tcMar>
              <w:top w:w="80" w:type="dxa"/>
              <w:bottom w:w="80" w:type="dxa"/>
              <w:start w:w="120" w:type="dxa"/>
              <w:end w:w="120" w:type="dxa"/>
            </w:tcMar>
          </w:tcPr>
          <w:p>
            <w:pPr>
              <w:jc w:val="center"/>
              <w:spacing w:after="0" w:line="280" w:lineRule="auto"/>
            </w:pPr>
            <w:r>
              <w:t xml:space="preserve">Strong MVP</w:t>
            </w:r>
          </w:p>
        </w:tc>
      </w:tr>
      <w:tr>
        <w:tc>
          <w:tcPr>
            <w:tcW w:w="1900" w:type="dxa"/>
            <w:vAlign w:val="center"/>
            <w:tcMar>
              <w:top w:w="80" w:type="dxa"/>
              <w:bottom w:w="80" w:type="dxa"/>
              <w:start w:w="120" w:type="dxa"/>
              <w:end w:w="120" w:type="dxa"/>
            </w:tcMar>
          </w:tcPr>
          <w:p>
            <w:pPr>
              <w:jc w:val="center"/>
              <w:spacing w:after="0" w:line="280" w:lineRule="auto"/>
            </w:pPr>
            <w:r>
              <w:t xml:space="preserve">Authorization</w:t>
            </w:r>
          </w:p>
        </w:tc>
        <w:tc>
          <w:tcPr>
            <w:tcW w:w="5300" w:type="dxa"/>
            <w:vAlign w:val="center"/>
            <w:tcMar>
              <w:top w:w="80" w:type="dxa"/>
              <w:bottom w:w="80" w:type="dxa"/>
              <w:start w:w="120" w:type="dxa"/>
              <w:end w:w="120" w:type="dxa"/>
            </w:tcMar>
          </w:tcPr>
          <w:p>
            <w:pPr>
              <w:spacing w:after="0" w:line="280" w:lineRule="auto"/>
            </w:pPr>
            <w:r>
              <w:t xml:space="preserve">Student/lecturer owner scoping, technician assignment scoping, admin global access.</w:t>
            </w:r>
          </w:p>
        </w:tc>
        <w:tc>
          <w:tcPr>
            <w:tcW w:w="2160" w:type="dxa"/>
            <w:vAlign w:val="center"/>
            <w:tcMar>
              <w:top w:w="80" w:type="dxa"/>
              <w:bottom w:w="80" w:type="dxa"/>
              <w:start w:w="120" w:type="dxa"/>
              <w:end w:w="120" w:type="dxa"/>
            </w:tcMar>
          </w:tcPr>
          <w:p>
            <w:pPr>
              <w:jc w:val="center"/>
              <w:spacing w:after="0" w:line="280" w:lineRule="auto"/>
            </w:pPr>
            <w:r>
              <w:t xml:space="preserve">Strong MVP</w:t>
            </w:r>
          </w:p>
        </w:tc>
      </w:tr>
      <w:tr>
        <w:tc>
          <w:tcPr>
            <w:tcW w:w="1900" w:type="dxa"/>
            <w:vAlign w:val="center"/>
            <w:tcMar>
              <w:top w:w="80" w:type="dxa"/>
              <w:bottom w:w="80" w:type="dxa"/>
              <w:start w:w="120" w:type="dxa"/>
              <w:end w:w="120" w:type="dxa"/>
            </w:tcMar>
          </w:tcPr>
          <w:p>
            <w:pPr>
              <w:jc w:val="center"/>
              <w:spacing w:after="0" w:line="280" w:lineRule="auto"/>
            </w:pPr>
            <w:r>
              <w:t xml:space="preserve">Device records</w:t>
            </w:r>
          </w:p>
        </w:tc>
        <w:tc>
          <w:tcPr>
            <w:tcW w:w="5300" w:type="dxa"/>
            <w:vAlign w:val="center"/>
            <w:tcMar>
              <w:top w:w="80" w:type="dxa"/>
              <w:bottom w:w="80" w:type="dxa"/>
              <w:start w:w="120" w:type="dxa"/>
              <w:end w:w="120" w:type="dxa"/>
            </w:tcMar>
          </w:tcPr>
          <w:p>
            <w:pPr>
              <w:spacing w:after="0" w:line="280" w:lineRule="auto"/>
            </w:pPr>
            <w:r>
              <w:t xml:space="preserve">Device creation/list/detail with owner relationship and admin lookup.</w:t>
            </w:r>
          </w:p>
        </w:tc>
        <w:tc>
          <w:tcPr>
            <w:tcW w:w="2160" w:type="dxa"/>
            <w:vAlign w:val="center"/>
            <w:tcMar>
              <w:top w:w="80" w:type="dxa"/>
              <w:bottom w:w="80" w:type="dxa"/>
              <w:start w:w="120" w:type="dxa"/>
              <w:end w:w="120" w:type="dxa"/>
            </w:tcMar>
          </w:tcPr>
          <w:p>
            <w:pPr>
              <w:jc w:val="center"/>
              <w:spacing w:after="0" w:line="280" w:lineRule="auto"/>
            </w:pPr>
            <w:r>
              <w:t xml:space="preserve">Complete baseline</w:t>
            </w:r>
          </w:p>
        </w:tc>
      </w:tr>
      <w:tr>
        <w:tc>
          <w:tcPr>
            <w:tcW w:w="1900" w:type="dxa"/>
            <w:vAlign w:val="center"/>
            <w:tcMar>
              <w:top w:w="80" w:type="dxa"/>
              <w:bottom w:w="80" w:type="dxa"/>
              <w:start w:w="120" w:type="dxa"/>
              <w:end w:w="120" w:type="dxa"/>
            </w:tcMar>
          </w:tcPr>
          <w:p>
            <w:pPr>
              <w:jc w:val="center"/>
              <w:spacing w:after="0" w:line="280" w:lineRule="auto"/>
            </w:pPr>
            <w:r>
              <w:t xml:space="preserve">Repair tickets</w:t>
            </w:r>
          </w:p>
        </w:tc>
        <w:tc>
          <w:tcPr>
            <w:tcW w:w="5300" w:type="dxa"/>
            <w:vAlign w:val="center"/>
            <w:tcMar>
              <w:top w:w="80" w:type="dxa"/>
              <w:bottom w:w="80" w:type="dxa"/>
              <w:start w:w="120" w:type="dxa"/>
              <w:end w:w="120" w:type="dxa"/>
            </w:tcMar>
          </w:tcPr>
          <w:p>
            <w:pPr>
              <w:spacing w:after="0" w:line="280" w:lineRule="auto"/>
            </w:pPr>
            <w:r>
              <w:t xml:space="preserve">Creation, listing, detail, ticket IDs, status transitions, assignment, logs, QR lookup.</w:t>
            </w:r>
          </w:p>
        </w:tc>
        <w:tc>
          <w:tcPr>
            <w:tcW w:w="2160" w:type="dxa"/>
            <w:vAlign w:val="center"/>
            <w:tcMar>
              <w:top w:w="80" w:type="dxa"/>
              <w:bottom w:w="80" w:type="dxa"/>
              <w:start w:w="120" w:type="dxa"/>
              <w:end w:w="120" w:type="dxa"/>
            </w:tcMar>
          </w:tcPr>
          <w:p>
            <w:pPr>
              <w:jc w:val="center"/>
              <w:spacing w:after="0" w:line="280" w:lineRule="auto"/>
            </w:pPr>
            <w:r>
              <w:t xml:space="preserve">Core workflow complete</w:t>
            </w:r>
          </w:p>
        </w:tc>
      </w:tr>
      <w:tr>
        <w:tc>
          <w:tcPr>
            <w:tcW w:w="1900" w:type="dxa"/>
            <w:vAlign w:val="center"/>
            <w:tcMar>
              <w:top w:w="80" w:type="dxa"/>
              <w:bottom w:w="80" w:type="dxa"/>
              <w:start w:w="120" w:type="dxa"/>
              <w:end w:w="120" w:type="dxa"/>
            </w:tcMar>
          </w:tcPr>
          <w:p>
            <w:pPr>
              <w:jc w:val="center"/>
              <w:spacing w:after="0" w:line="280" w:lineRule="auto"/>
            </w:pPr>
            <w:r>
              <w:t xml:space="preserve">Notifications</w:t>
            </w:r>
          </w:p>
        </w:tc>
        <w:tc>
          <w:tcPr>
            <w:tcW w:w="5300" w:type="dxa"/>
            <w:vAlign w:val="center"/>
            <w:tcMar>
              <w:top w:w="80" w:type="dxa"/>
              <w:bottom w:w="80" w:type="dxa"/>
              <w:start w:w="120" w:type="dxa"/>
              <w:end w:w="120" w:type="dxa"/>
            </w:tcMar>
          </w:tcPr>
          <w:p>
            <w:pPr>
              <w:spacing w:after="0" w:line="280" w:lineRule="auto"/>
            </w:pPr>
            <w:r>
              <w:t xml:space="preserve">Dashboard notifications and unread/read handling for relevant ticket activity.</w:t>
            </w:r>
          </w:p>
        </w:tc>
        <w:tc>
          <w:tcPr>
            <w:tcW w:w="2160" w:type="dxa"/>
            <w:vAlign w:val="center"/>
            <w:tcMar>
              <w:top w:w="80" w:type="dxa"/>
              <w:bottom w:w="80" w:type="dxa"/>
              <w:start w:w="120" w:type="dxa"/>
              <w:end w:w="120" w:type="dxa"/>
            </w:tcMar>
          </w:tcPr>
          <w:p>
            <w:pPr>
              <w:jc w:val="center"/>
              <w:spacing w:after="0" w:line="280" w:lineRule="auto"/>
            </w:pPr>
            <w:r>
              <w:t xml:space="preserve">Useful baseline</w:t>
            </w:r>
          </w:p>
        </w:tc>
      </w:tr>
      <w:tr>
        <w:tc>
          <w:tcPr>
            <w:tcW w:w="1900" w:type="dxa"/>
            <w:vAlign w:val="center"/>
            <w:tcMar>
              <w:top w:w="80" w:type="dxa"/>
              <w:bottom w:w="80" w:type="dxa"/>
              <w:start w:w="120" w:type="dxa"/>
              <w:end w:w="120" w:type="dxa"/>
            </w:tcMar>
          </w:tcPr>
          <w:p>
            <w:pPr>
              <w:jc w:val="center"/>
              <w:spacing w:after="0" w:line="280" w:lineRule="auto"/>
            </w:pPr>
            <w:r>
              <w:t xml:space="preserve">Dashboards</w:t>
            </w:r>
          </w:p>
        </w:tc>
        <w:tc>
          <w:tcPr>
            <w:tcW w:w="5300" w:type="dxa"/>
            <w:vAlign w:val="center"/>
            <w:tcMar>
              <w:top w:w="80" w:type="dxa"/>
              <w:bottom w:w="80" w:type="dxa"/>
              <w:start w:w="120" w:type="dxa"/>
              <w:end w:w="120" w:type="dxa"/>
            </w:tcMar>
          </w:tcPr>
          <w:p>
            <w:pPr>
              <w:spacing w:after="0" w:line="280" w:lineRule="auto"/>
            </w:pPr>
            <w:r>
              <w:t xml:space="preserve">Role-specific dashboard data for students/lecturers, technicians, and admins.</w:t>
            </w:r>
          </w:p>
        </w:tc>
        <w:tc>
          <w:tcPr>
            <w:tcW w:w="2160" w:type="dxa"/>
            <w:vAlign w:val="center"/>
            <w:tcMar>
              <w:top w:w="80" w:type="dxa"/>
              <w:bottom w:w="80" w:type="dxa"/>
              <w:start w:w="120" w:type="dxa"/>
              <w:end w:w="120" w:type="dxa"/>
            </w:tcMar>
          </w:tcPr>
          <w:p>
            <w:pPr>
              <w:jc w:val="center"/>
              <w:spacing w:after="0" w:line="280" w:lineRule="auto"/>
            </w:pPr>
            <w:r>
              <w:t xml:space="preserve">Operationally useful</w:t>
            </w:r>
          </w:p>
        </w:tc>
      </w:tr>
      <w:tr>
        <w:tc>
          <w:tcPr>
            <w:tcW w:w="1900" w:type="dxa"/>
            <w:vAlign w:val="center"/>
            <w:tcMar>
              <w:top w:w="80" w:type="dxa"/>
              <w:bottom w:w="80" w:type="dxa"/>
              <w:start w:w="120" w:type="dxa"/>
              <w:end w:w="120" w:type="dxa"/>
            </w:tcMar>
          </w:tcPr>
          <w:p>
            <w:pPr>
              <w:jc w:val="center"/>
              <w:spacing w:after="0" w:line="280" w:lineRule="auto"/>
            </w:pPr>
            <w:r>
              <w:t xml:space="preserve">Reports</w:t>
            </w:r>
          </w:p>
        </w:tc>
        <w:tc>
          <w:tcPr>
            <w:tcW w:w="5300" w:type="dxa"/>
            <w:vAlign w:val="center"/>
            <w:tcMar>
              <w:top w:w="80" w:type="dxa"/>
              <w:bottom w:w="80" w:type="dxa"/>
              <w:start w:w="120" w:type="dxa"/>
              <w:end w:w="120" w:type="dxa"/>
            </w:tcMar>
          </w:tcPr>
          <w:p>
            <w:pPr>
              <w:spacing w:after="0" w:line="280" w:lineRule="auto"/>
            </w:pPr>
            <w:r>
              <w:t xml:space="preserve">Admin overview reports by status, faculty, device type, monthly trends, keywords, technicians.</w:t>
            </w:r>
          </w:p>
        </w:tc>
        <w:tc>
          <w:tcPr>
            <w:tcW w:w="2160" w:type="dxa"/>
            <w:vAlign w:val="center"/>
            <w:tcMar>
              <w:top w:w="80" w:type="dxa"/>
              <w:bottom w:w="80" w:type="dxa"/>
              <w:start w:w="120" w:type="dxa"/>
              <w:end w:w="120" w:type="dxa"/>
            </w:tcMar>
          </w:tcPr>
          <w:p>
            <w:pPr>
              <w:jc w:val="center"/>
              <w:spacing w:after="0" w:line="280" w:lineRule="auto"/>
            </w:pPr>
            <w:r>
              <w:t xml:space="preserve">Good MVP</w:t>
            </w:r>
          </w:p>
        </w:tc>
      </w:tr>
      <w:tr>
        <w:tc>
          <w:tcPr>
            <w:tcW w:w="1900" w:type="dxa"/>
            <w:vAlign w:val="center"/>
            <w:tcMar>
              <w:top w:w="80" w:type="dxa"/>
              <w:bottom w:w="80" w:type="dxa"/>
              <w:start w:w="120" w:type="dxa"/>
              <w:end w:w="120" w:type="dxa"/>
            </w:tcMar>
          </w:tcPr>
          <w:p>
            <w:pPr>
              <w:jc w:val="center"/>
              <w:spacing w:after="0" w:line="280" w:lineRule="auto"/>
            </w:pPr>
            <w:r>
              <w:t xml:space="preserve">Uploads</w:t>
            </w:r>
          </w:p>
        </w:tc>
        <w:tc>
          <w:tcPr>
            <w:tcW w:w="5300" w:type="dxa"/>
            <w:vAlign w:val="center"/>
            <w:tcMar>
              <w:top w:w="80" w:type="dxa"/>
              <w:bottom w:w="80" w:type="dxa"/>
              <w:start w:w="120" w:type="dxa"/>
              <w:end w:w="120" w:type="dxa"/>
            </w:tcMar>
          </w:tcPr>
          <w:p>
            <w:pPr>
              <w:spacing w:after="0" w:line="280" w:lineRule="auto"/>
            </w:pPr>
            <w:r>
              <w:t xml:space="preserve">Repair photo validation and configured storage path support.</w:t>
            </w:r>
          </w:p>
        </w:tc>
        <w:tc>
          <w:tcPr>
            <w:tcW w:w="2160" w:type="dxa"/>
            <w:vAlign w:val="center"/>
            <w:tcMar>
              <w:top w:w="80" w:type="dxa"/>
              <w:bottom w:w="80" w:type="dxa"/>
              <w:start w:w="120" w:type="dxa"/>
              <w:end w:w="120" w:type="dxa"/>
            </w:tcMar>
          </w:tcPr>
          <w:p>
            <w:pPr>
              <w:jc w:val="center"/>
              <w:spacing w:after="0" w:line="280" w:lineRule="auto"/>
            </w:pPr>
            <w:r>
              <w:t xml:space="preserve">Baseline ready</w:t>
            </w:r>
          </w:p>
        </w:tc>
      </w:tr>
      <w:tr>
        <w:tc>
          <w:tcPr>
            <w:tcW w:w="1900" w:type="dxa"/>
            <w:vAlign w:val="center"/>
            <w:tcMar>
              <w:top w:w="80" w:type="dxa"/>
              <w:bottom w:w="80" w:type="dxa"/>
              <w:start w:w="120" w:type="dxa"/>
              <w:end w:w="120" w:type="dxa"/>
            </w:tcMar>
          </w:tcPr>
          <w:p>
            <w:pPr>
              <w:jc w:val="center"/>
              <w:spacing w:after="0" w:line="280" w:lineRule="auto"/>
            </w:pPr>
            <w:r>
              <w:t xml:space="preserve">UI/UX</w:t>
            </w:r>
          </w:p>
        </w:tc>
        <w:tc>
          <w:tcPr>
            <w:tcW w:w="5300" w:type="dxa"/>
            <w:vAlign w:val="center"/>
            <w:tcMar>
              <w:top w:w="80" w:type="dxa"/>
              <w:bottom w:w="80" w:type="dxa"/>
              <w:start w:w="120" w:type="dxa"/>
              <w:end w:w="120" w:type="dxa"/>
            </w:tcMar>
          </w:tcPr>
          <w:p>
            <w:pPr>
              <w:spacing w:after="0" w:line="280" w:lineRule="auto"/>
            </w:pPr>
            <w:r>
              <w:t xml:space="preserve">Professional navy/blue redesign, responsive app shell, dashboards, tables, forms, and status badges.</w:t>
            </w:r>
          </w:p>
        </w:tc>
        <w:tc>
          <w:tcPr>
            <w:tcW w:w="2160" w:type="dxa"/>
            <w:vAlign w:val="center"/>
            <w:tcMar>
              <w:top w:w="80" w:type="dxa"/>
              <w:bottom w:w="80" w:type="dxa"/>
              <w:start w:w="120" w:type="dxa"/>
              <w:end w:w="120" w:type="dxa"/>
            </w:tcMar>
          </w:tcPr>
          <w:p>
            <w:pPr>
              <w:jc w:val="center"/>
              <w:spacing w:after="0" w:line="280" w:lineRule="auto"/>
            </w:pPr>
            <w:r>
              <w:t xml:space="preserve">Improved presentation</w:t>
            </w:r>
          </w:p>
        </w:tc>
      </w:tr>
      <w:tr>
        <w:tc>
          <w:tcPr>
            <w:tcW w:w="1900" w:type="dxa"/>
            <w:vAlign w:val="center"/>
            <w:tcMar>
              <w:top w:w="80" w:type="dxa"/>
              <w:bottom w:w="80" w:type="dxa"/>
              <w:start w:w="120" w:type="dxa"/>
              <w:end w:w="120" w:type="dxa"/>
            </w:tcMar>
          </w:tcPr>
          <w:p>
            <w:pPr>
              <w:jc w:val="center"/>
              <w:spacing w:after="0" w:line="280" w:lineRule="auto"/>
            </w:pPr>
            <w:r>
              <w:t xml:space="preserve">Testing</w:t>
            </w:r>
          </w:p>
        </w:tc>
        <w:tc>
          <w:tcPr>
            <w:tcW w:w="5300" w:type="dxa"/>
            <w:vAlign w:val="center"/>
            <w:tcMar>
              <w:top w:w="80" w:type="dxa"/>
              <w:bottom w:w="80" w:type="dxa"/>
              <w:start w:w="120" w:type="dxa"/>
              <w:end w:w="120" w:type="dxa"/>
            </w:tcMar>
          </w:tcPr>
          <w:p>
            <w:pPr>
              <w:spacing w:after="0" w:line="280" w:lineRule="auto"/>
            </w:pPr>
            <w:r>
              <w:t xml:space="preserve">Vitest route, validation, auth, service, report, upload, and seed helper coverage.</w:t>
            </w:r>
          </w:p>
        </w:tc>
        <w:tc>
          <w:tcPr>
            <w:tcW w:w="2160" w:type="dxa"/>
            <w:vAlign w:val="center"/>
            <w:tcMar>
              <w:top w:w="80" w:type="dxa"/>
              <w:bottom w:w="80" w:type="dxa"/>
              <w:start w:w="120" w:type="dxa"/>
              <w:end w:w="120" w:type="dxa"/>
            </w:tcMar>
          </w:tcPr>
          <w:p>
            <w:pPr>
              <w:jc w:val="center"/>
              <w:spacing w:after="0" w:line="280" w:lineRule="auto"/>
            </w:pPr>
            <w:r>
              <w:t xml:space="preserve">Healthy</w:t>
            </w:r>
          </w:p>
        </w:tc>
      </w:tr>
    </w:tbl>
    <w:p>
      <w:pPr>
        <w:pStyle w:val="Heading1"/>
      </w:pPr>
      <w:r>
        <w:t xml:space="preserve">3. End-to-End Workflow</w:t>
      </w:r>
    </w:p>
    <w:p>
      <w:pPr>
        <w:numPr>
          <w:ilvl w:val="0"/>
          <w:numId w:val="2"/>
        </w:numPr>
      </w:pPr>
      <w:r>
        <w:t xml:space="preserve">User creates an account or logs in with an existing role-based profile.</w:t>
      </w:r>
    </w:p>
    <w:p>
      <w:pPr>
        <w:numPr>
          <w:ilvl w:val="0"/>
          <w:numId w:val="2"/>
        </w:numPr>
      </w:pPr>
      <w:r>
        <w:t xml:space="preserve">Student or lecturer registers a device and submits a repair ticket with issue details and optional validated photo reference.</w:t>
      </w:r>
    </w:p>
    <w:p>
      <w:pPr>
        <w:numPr>
          <w:ilvl w:val="0"/>
          <w:numId w:val="2"/>
        </w:numPr>
      </w:pPr>
      <w:r>
        <w:t xml:space="preserve">System creates a human-readable ticket ID and places the ticket at Registration Completed.</w:t>
      </w:r>
    </w:p>
    <w:p>
      <w:pPr>
        <w:numPr>
          <w:ilvl w:val="0"/>
          <w:numId w:val="2"/>
        </w:numPr>
      </w:pPr>
      <w:r>
        <w:t xml:space="preserve">Admin reviews tickets and assigns an active technician.</w:t>
      </w:r>
    </w:p>
    <w:p>
      <w:pPr>
        <w:numPr>
          <w:ilvl w:val="0"/>
          <w:numId w:val="2"/>
        </w:numPr>
      </w:pPr>
      <w:r>
        <w:t xml:space="preserve">Assigned technician works through the controlled repair status lifecycle and adds repair logs.</w:t>
      </w:r>
    </w:p>
    <w:p>
      <w:pPr>
        <w:numPr>
          <w:ilvl w:val="0"/>
          <w:numId w:val="2"/>
        </w:numPr>
      </w:pPr>
      <w:r>
        <w:t xml:space="preserve">Notifications are created for important ticket activity.</w:t>
      </w:r>
    </w:p>
    <w:p>
      <w:pPr>
        <w:numPr>
          <w:ilvl w:val="0"/>
          <w:numId w:val="2"/>
        </w:numPr>
      </w:pPr>
      <w:r>
        <w:t xml:space="preserve">Student or lecturer tracks the repair timeline from their account or through limited QR lookup.</w:t>
      </w:r>
    </w:p>
    <w:p>
      <w:pPr>
        <w:numPr>
          <w:ilvl w:val="0"/>
          <w:numId w:val="2"/>
        </w:numPr>
      </w:pPr>
      <w:r>
        <w:t xml:space="preserve">Admin reviews dashboards and reports for workload, issue trends, and technician performance.</w:t>
      </w:r>
    </w:p>
    <w:p>
      <w:pPr>
        <w:pStyle w:val="Heading1"/>
      </w:pPr>
      <w:r>
        <w:t xml:space="preserve">4. Implemented Domain And Data Model</w:t>
      </w:r>
    </w:p>
    <w:tbl>
      <w:tblPr>
        <w:tblStyle w:val="TableGrid"/>
        <w:tblW w:w="9360" w:type="dxa"/>
        <w:tblInd w:w="120" w:type="dxa"/>
        <w:tblLayout w:type="fixed"/>
        <w:tblBorders>
          <w:top w:val="single" w:sz="4" w:color="D0D7E2"/>
          <w:left w:val="single" w:sz="4" w:color="D0D7E2"/>
          <w:bottom w:val="single" w:sz="4" w:color="D0D7E2"/>
          <w:right w:val="single" w:sz="4" w:color="D0D7E2"/>
          <w:insideH w:val="single" w:sz="4" w:color="D0D7E2"/>
          <w:insideV w:val="single" w:sz="4" w:color="D0D7E2"/>
        </w:tblBorders>
      </w:tblPr>
      <w:tblGrid>
        <w:gridCol w:w="1700"/>
        <w:gridCol w:w="3300"/>
        <w:gridCol w:w="4360"/>
      </w:tblGrid>
      <w:tr>
        <w:trPr>
          <w:tblHeader/>
        </w:trPr>
        <w:tc>
          <w:tcPr>
            <w:tcW w:w="1700" w:type="dxa"/>
            <w:vAlign w:val="center"/>
            <w:tcMar>
              <w:top w:w="80" w:type="dxa"/>
              <w:bottom w:w="80" w:type="dxa"/>
              <w:start w:w="120" w:type="dxa"/>
              <w:end w:w="120" w:type="dxa"/>
            </w:tcMar>
            <w:shd w:val="clear" w:color="auto" w:fill="F2F4F7"/>
          </w:tcPr>
          <w:p>
            <w:pPr>
              <w:spacing w:after="0" w:line="280" w:lineRule="auto"/>
            </w:pPr>
            <w:r>
              <w:rPr>
                <w:b/>
              </w:rPr>
              <w:t xml:space="preserve">Entity</w:t>
            </w:r>
          </w:p>
        </w:tc>
        <w:tc>
          <w:tcPr>
            <w:tcW w:w="3300" w:type="dxa"/>
            <w:vAlign w:val="center"/>
            <w:tcMar>
              <w:top w:w="80" w:type="dxa"/>
              <w:bottom w:w="80" w:type="dxa"/>
              <w:start w:w="120" w:type="dxa"/>
              <w:end w:w="120" w:type="dxa"/>
            </w:tcMar>
            <w:shd w:val="clear" w:color="auto" w:fill="F2F4F7"/>
          </w:tcPr>
          <w:p>
            <w:pPr>
              <w:spacing w:after="0" w:line="280" w:lineRule="auto"/>
            </w:pPr>
            <w:r>
              <w:rPr>
                <w:b/>
              </w:rPr>
              <w:t xml:space="preserve">Purpose</w:t>
            </w:r>
          </w:p>
        </w:tc>
        <w:tc>
          <w:tcPr>
            <w:tcW w:w="4360" w:type="dxa"/>
            <w:vAlign w:val="center"/>
            <w:tcMar>
              <w:top w:w="80" w:type="dxa"/>
              <w:bottom w:w="80" w:type="dxa"/>
              <w:start w:w="120" w:type="dxa"/>
              <w:end w:w="120" w:type="dxa"/>
            </w:tcMar>
            <w:shd w:val="clear" w:color="auto" w:fill="F2F4F7"/>
          </w:tcPr>
          <w:p>
            <w:pPr>
              <w:spacing w:after="0" w:line="280" w:lineRule="auto"/>
            </w:pPr>
            <w:r>
              <w:rPr>
                <w:b/>
              </w:rPr>
              <w:t xml:space="preserve">Key fields observed</w:t>
            </w:r>
          </w:p>
        </w:tc>
      </w:tr>
      <w:tr>
        <w:tc>
          <w:tcPr>
            <w:tcW w:w="1700" w:type="dxa"/>
            <w:vAlign w:val="center"/>
            <w:tcMar>
              <w:top w:w="80" w:type="dxa"/>
              <w:bottom w:w="80" w:type="dxa"/>
              <w:start w:w="120" w:type="dxa"/>
              <w:end w:w="120" w:type="dxa"/>
            </w:tcMar>
          </w:tcPr>
          <w:p>
            <w:pPr>
              <w:jc w:val="center"/>
              <w:spacing w:after="0" w:line="280" w:lineRule="auto"/>
            </w:pPr>
            <w:r>
              <w:t xml:space="preserve">User</w:t>
            </w:r>
          </w:p>
        </w:tc>
        <w:tc>
          <w:tcPr>
            <w:tcW w:w="3300" w:type="dxa"/>
            <w:vAlign w:val="center"/>
            <w:tcMar>
              <w:top w:w="80" w:type="dxa"/>
              <w:bottom w:w="80" w:type="dxa"/>
              <w:start w:w="120" w:type="dxa"/>
              <w:end w:w="120" w:type="dxa"/>
            </w:tcMar>
          </w:tcPr>
          <w:p>
            <w:pPr>
              <w:spacing w:after="0" w:line="280" w:lineRule="auto"/>
            </w:pPr>
            <w:r>
              <w:t xml:space="preserve">Stores students, lecturers, technicians, and admins.</w:t>
            </w:r>
          </w:p>
        </w:tc>
        <w:tc>
          <w:tcPr>
            <w:tcW w:w="4360" w:type="dxa"/>
            <w:vAlign w:val="center"/>
            <w:tcMar>
              <w:top w:w="80" w:type="dxa"/>
              <w:bottom w:w="80" w:type="dxa"/>
              <w:start w:w="120" w:type="dxa"/>
              <w:end w:w="120" w:type="dxa"/>
            </w:tcMar>
          </w:tcPr>
          <w:p>
            <w:pPr>
              <w:jc w:val="center"/>
              <w:spacing w:after="0" w:line="280" w:lineRule="auto"/>
            </w:pPr>
            <w:r>
              <w:t xml:space="preserve">fullName, universityId, faculty, department, phone, email, passwordHash, role, isActive</w:t>
            </w:r>
          </w:p>
        </w:tc>
      </w:tr>
      <w:tr>
        <w:tc>
          <w:tcPr>
            <w:tcW w:w="1700" w:type="dxa"/>
            <w:vAlign w:val="center"/>
            <w:tcMar>
              <w:top w:w="80" w:type="dxa"/>
              <w:bottom w:w="80" w:type="dxa"/>
              <w:start w:w="120" w:type="dxa"/>
              <w:end w:w="120" w:type="dxa"/>
            </w:tcMar>
          </w:tcPr>
          <w:p>
            <w:pPr>
              <w:jc w:val="center"/>
              <w:spacing w:after="0" w:line="280" w:lineRule="auto"/>
            </w:pPr>
            <w:r>
              <w:t xml:space="preserve">Device</w:t>
            </w:r>
          </w:p>
        </w:tc>
        <w:tc>
          <w:tcPr>
            <w:tcW w:w="3300" w:type="dxa"/>
            <w:vAlign w:val="center"/>
            <w:tcMar>
              <w:top w:w="80" w:type="dxa"/>
              <w:bottom w:w="80" w:type="dxa"/>
              <w:start w:w="120" w:type="dxa"/>
              <w:end w:w="120" w:type="dxa"/>
            </w:tcMar>
          </w:tcPr>
          <w:p>
            <w:pPr>
              <w:spacing w:after="0" w:line="280" w:lineRule="auto"/>
            </w:pPr>
            <w:r>
              <w:t xml:space="preserve">Stores device identity and ownership.</w:t>
            </w:r>
          </w:p>
        </w:tc>
        <w:tc>
          <w:tcPr>
            <w:tcW w:w="4360" w:type="dxa"/>
            <w:vAlign w:val="center"/>
            <w:tcMar>
              <w:top w:w="80" w:type="dxa"/>
              <w:bottom w:w="80" w:type="dxa"/>
              <w:start w:w="120" w:type="dxa"/>
              <w:end w:w="120" w:type="dxa"/>
            </w:tcMar>
          </w:tcPr>
          <w:p>
            <w:pPr>
              <w:jc w:val="center"/>
              <w:spacing w:after="0" w:line="280" w:lineRule="auto"/>
            </w:pPr>
            <w:r>
              <w:t xml:space="preserve">ownerId, deviceType, brand, model, serialNumber</w:t>
            </w:r>
          </w:p>
        </w:tc>
      </w:tr>
      <w:tr>
        <w:tc>
          <w:tcPr>
            <w:tcW w:w="1700" w:type="dxa"/>
            <w:vAlign w:val="center"/>
            <w:tcMar>
              <w:top w:w="80" w:type="dxa"/>
              <w:bottom w:w="80" w:type="dxa"/>
              <w:start w:w="120" w:type="dxa"/>
              <w:end w:w="120" w:type="dxa"/>
            </w:tcMar>
          </w:tcPr>
          <w:p>
            <w:pPr>
              <w:jc w:val="center"/>
              <w:spacing w:after="0" w:line="280" w:lineRule="auto"/>
            </w:pPr>
            <w:r>
              <w:t xml:space="preserve">RepairTicket</w:t>
            </w:r>
          </w:p>
        </w:tc>
        <w:tc>
          <w:tcPr>
            <w:tcW w:w="3300" w:type="dxa"/>
            <w:vAlign w:val="center"/>
            <w:tcMar>
              <w:top w:w="80" w:type="dxa"/>
              <w:bottom w:w="80" w:type="dxa"/>
              <w:start w:w="120" w:type="dxa"/>
              <w:end w:w="120" w:type="dxa"/>
            </w:tcMar>
          </w:tcPr>
          <w:p>
            <w:pPr>
              <w:spacing w:after="0" w:line="280" w:lineRule="auto"/>
            </w:pPr>
            <w:r>
              <w:t xml:space="preserve">Main repair request and lifecycle record.</w:t>
            </w:r>
          </w:p>
        </w:tc>
        <w:tc>
          <w:tcPr>
            <w:tcW w:w="4360" w:type="dxa"/>
            <w:vAlign w:val="center"/>
            <w:tcMar>
              <w:top w:w="80" w:type="dxa"/>
              <w:bottom w:w="80" w:type="dxa"/>
              <w:start w:w="120" w:type="dxa"/>
              <w:end w:w="120" w:type="dxa"/>
            </w:tcMar>
          </w:tcPr>
          <w:p>
            <w:pPr>
              <w:jc w:val="center"/>
              <w:spacing w:after="0" w:line="280" w:lineRule="auto"/>
            </w:pPr>
            <w:r>
              <w:t xml:space="preserve">ticketId, deviceId, technicianId, issueDescription, photoUrl, status</w:t>
            </w:r>
          </w:p>
        </w:tc>
      </w:tr>
      <w:tr>
        <w:tc>
          <w:tcPr>
            <w:tcW w:w="1700" w:type="dxa"/>
            <w:vAlign w:val="center"/>
            <w:tcMar>
              <w:top w:w="80" w:type="dxa"/>
              <w:bottom w:w="80" w:type="dxa"/>
              <w:start w:w="120" w:type="dxa"/>
              <w:end w:w="120" w:type="dxa"/>
            </w:tcMar>
          </w:tcPr>
          <w:p>
            <w:pPr>
              <w:jc w:val="center"/>
              <w:spacing w:after="0" w:line="280" w:lineRule="auto"/>
            </w:pPr>
            <w:r>
              <w:t xml:space="preserve">RepairLog</w:t>
            </w:r>
          </w:p>
        </w:tc>
        <w:tc>
          <w:tcPr>
            <w:tcW w:w="3300" w:type="dxa"/>
            <w:vAlign w:val="center"/>
            <w:tcMar>
              <w:top w:w="80" w:type="dxa"/>
              <w:bottom w:w="80" w:type="dxa"/>
              <w:start w:w="120" w:type="dxa"/>
              <w:end w:w="120" w:type="dxa"/>
            </w:tcMar>
          </w:tcPr>
          <w:p>
            <w:pPr>
              <w:spacing w:after="0" w:line="280" w:lineRule="auto"/>
            </w:pPr>
            <w:r>
              <w:t xml:space="preserve">Timeline, diagnosis, and repair note history.</w:t>
            </w:r>
          </w:p>
        </w:tc>
        <w:tc>
          <w:tcPr>
            <w:tcW w:w="4360" w:type="dxa"/>
            <w:vAlign w:val="center"/>
            <w:tcMar>
              <w:top w:w="80" w:type="dxa"/>
              <w:bottom w:w="80" w:type="dxa"/>
              <w:start w:w="120" w:type="dxa"/>
              <w:end w:w="120" w:type="dxa"/>
            </w:tcMar>
          </w:tcPr>
          <w:p>
            <w:pPr>
              <w:jc w:val="center"/>
              <w:spacing w:after="0" w:line="280" w:lineRule="auto"/>
            </w:pPr>
            <w:r>
              <w:t xml:space="preserve">ticketId, technicianId, status, diagnosis, repairNotes</w:t>
            </w:r>
          </w:p>
        </w:tc>
      </w:tr>
      <w:tr>
        <w:tc>
          <w:tcPr>
            <w:tcW w:w="1700" w:type="dxa"/>
            <w:vAlign w:val="center"/>
            <w:tcMar>
              <w:top w:w="80" w:type="dxa"/>
              <w:bottom w:w="80" w:type="dxa"/>
              <w:start w:w="120" w:type="dxa"/>
              <w:end w:w="120" w:type="dxa"/>
            </w:tcMar>
          </w:tcPr>
          <w:p>
            <w:pPr>
              <w:jc w:val="center"/>
              <w:spacing w:after="0" w:line="280" w:lineRule="auto"/>
            </w:pPr>
            <w:r>
              <w:t xml:space="preserve">TechnicianActivity</w:t>
            </w:r>
          </w:p>
        </w:tc>
        <w:tc>
          <w:tcPr>
            <w:tcW w:w="3300" w:type="dxa"/>
            <w:vAlign w:val="center"/>
            <w:tcMar>
              <w:top w:w="80" w:type="dxa"/>
              <w:bottom w:w="80" w:type="dxa"/>
              <w:start w:w="120" w:type="dxa"/>
              <w:end w:w="120" w:type="dxa"/>
            </w:tcMar>
          </w:tcPr>
          <w:p>
            <w:pPr>
              <w:spacing w:after="0" w:line="280" w:lineRule="auto"/>
            </w:pPr>
            <w:r>
              <w:t xml:space="preserve">Technician check-in and completed repair tracking baseline.</w:t>
            </w:r>
          </w:p>
        </w:tc>
        <w:tc>
          <w:tcPr>
            <w:tcW w:w="4360" w:type="dxa"/>
            <w:vAlign w:val="center"/>
            <w:tcMar>
              <w:top w:w="80" w:type="dxa"/>
              <w:bottom w:w="80" w:type="dxa"/>
              <w:start w:w="120" w:type="dxa"/>
              <w:end w:w="120" w:type="dxa"/>
            </w:tcMar>
          </w:tcPr>
          <w:p>
            <w:pPr>
              <w:jc w:val="center"/>
              <w:spacing w:after="0" w:line="280" w:lineRule="auto"/>
            </w:pPr>
            <w:r>
              <w:t xml:space="preserve">technicianId, checkIn, checkOut, repairsCompleted</w:t>
            </w:r>
          </w:p>
        </w:tc>
      </w:tr>
      <w:tr>
        <w:tc>
          <w:tcPr>
            <w:tcW w:w="1700" w:type="dxa"/>
            <w:vAlign w:val="center"/>
            <w:tcMar>
              <w:top w:w="80" w:type="dxa"/>
              <w:bottom w:w="80" w:type="dxa"/>
              <w:start w:w="120" w:type="dxa"/>
              <w:end w:w="120" w:type="dxa"/>
            </w:tcMar>
          </w:tcPr>
          <w:p>
            <w:pPr>
              <w:jc w:val="center"/>
              <w:spacing w:after="0" w:line="280" w:lineRule="auto"/>
            </w:pPr>
            <w:r>
              <w:t xml:space="preserve">Notification</w:t>
            </w:r>
          </w:p>
        </w:tc>
        <w:tc>
          <w:tcPr>
            <w:tcW w:w="3300" w:type="dxa"/>
            <w:vAlign w:val="center"/>
            <w:tcMar>
              <w:top w:w="80" w:type="dxa"/>
              <w:bottom w:w="80" w:type="dxa"/>
              <w:start w:w="120" w:type="dxa"/>
              <w:end w:w="120" w:type="dxa"/>
            </w:tcMar>
          </w:tcPr>
          <w:p>
            <w:pPr>
              <w:spacing w:after="0" w:line="280" w:lineRule="auto"/>
            </w:pPr>
            <w:r>
              <w:t xml:space="preserve">Dashboard notification records.</w:t>
            </w:r>
          </w:p>
        </w:tc>
        <w:tc>
          <w:tcPr>
            <w:tcW w:w="4360" w:type="dxa"/>
            <w:vAlign w:val="center"/>
            <w:tcMar>
              <w:top w:w="80" w:type="dxa"/>
              <w:bottom w:w="80" w:type="dxa"/>
              <w:start w:w="120" w:type="dxa"/>
              <w:end w:w="120" w:type="dxa"/>
            </w:tcMar>
          </w:tcPr>
          <w:p>
            <w:pPr>
              <w:jc w:val="center"/>
              <w:spacing w:after="0" w:line="280" w:lineRule="auto"/>
            </w:pPr>
            <w:r>
              <w:t xml:space="preserve">userId, ticketId, channel, status, title, message, readAt</w:t>
            </w:r>
          </w:p>
        </w:tc>
      </w:tr>
    </w:tbl>
    <w:p>
      <w:r>
        <w:t xml:space="preserve">The schema is normalized enough for the MVP and includes practical indexes for roles, activation, owners, technicians, status, ticket IDs, notification status, and creation dates. The strongest architectural choice is that access control is enforced server-side rather than left to UI checks.</w:t>
      </w:r>
    </w:p>
    <w:p>
      <w:pPr>
        <w:pStyle w:val="Heading1"/>
      </w:pPr>
      <w:r>
        <w:t xml:space="preserve">5. Security And Reliability Posture</w:t>
      </w:r>
    </w:p>
    <w:p>
      <w:pPr>
        <w:numPr>
          <w:ilvl w:val="0"/>
          <w:numId w:val="1"/>
        </w:numPr>
      </w:pPr>
      <w:r>
        <w:t xml:space="preserve">Passwords are hashed and password hashes are excluded from public user responses.</w:t>
      </w:r>
    </w:p>
    <w:p>
      <w:pPr>
        <w:numPr>
          <w:ilvl w:val="0"/>
          <w:numId w:val="1"/>
        </w:numPr>
      </w:pPr>
      <w:r>
        <w:t xml:space="preserve">Sessions use signed JWTs stored in HTTP-only cookies, with secure cookies in production.</w:t>
      </w:r>
    </w:p>
    <w:p>
      <w:pPr>
        <w:numPr>
          <w:ilvl w:val="0"/>
          <w:numId w:val="1"/>
        </w:numPr>
      </w:pPr>
      <w:r>
        <w:t xml:space="preserve">Runtime environment validation prevents production startup without required secrets and storage settings.</w:t>
      </w:r>
    </w:p>
    <w:p>
      <w:pPr>
        <w:numPr>
          <w:ilvl w:val="0"/>
          <w:numId w:val="1"/>
        </w:numPr>
      </w:pPr>
      <w:r>
        <w:t xml:space="preserve">Login uses generic failure messages and rate-limit helper coverage.</w:t>
      </w:r>
    </w:p>
    <w:p>
      <w:pPr>
        <w:numPr>
          <w:ilvl w:val="0"/>
          <w:numId w:val="1"/>
        </w:numPr>
      </w:pPr>
      <w:r>
        <w:t xml:space="preserve">Authorization derives the user and role from the verified session/database, not client-submitted role values.</w:t>
      </w:r>
    </w:p>
    <w:p>
      <w:pPr>
        <w:numPr>
          <w:ilvl w:val="0"/>
          <w:numId w:val="1"/>
        </w:numPr>
      </w:pPr>
      <w:r>
        <w:t xml:space="preserve">Protected operations include owner, assigned technician, or admin checks.</w:t>
      </w:r>
    </w:p>
    <w:p>
      <w:pPr>
        <w:numPr>
          <w:ilvl w:val="0"/>
          <w:numId w:val="1"/>
        </w:numPr>
      </w:pPr>
      <w:r>
        <w:t xml:space="preserve">Admin role changes guard against removing or deactivating the last active admin.</w:t>
      </w:r>
    </w:p>
    <w:p>
      <w:pPr>
        <w:pStyle w:val="Heading1"/>
      </w:pPr>
      <w:r>
        <w:t xml:space="preserve">6. Strongest Parts</w:t>
      </w:r>
    </w:p>
    <w:tbl>
      <w:tblPr>
        <w:tblStyle w:val="TableGrid"/>
        <w:tblW w:w="9360" w:type="dxa"/>
        <w:tblInd w:w="120" w:type="dxa"/>
        <w:tblLayout w:type="fixed"/>
        <w:tblBorders>
          <w:top w:val="single" w:sz="4" w:color="D0D7E2"/>
          <w:left w:val="single" w:sz="4" w:color="D0D7E2"/>
          <w:bottom w:val="single" w:sz="4" w:color="D0D7E2"/>
          <w:right w:val="single" w:sz="4" w:color="D0D7E2"/>
          <w:insideH w:val="single" w:sz="4" w:color="D0D7E2"/>
          <w:insideV w:val="single" w:sz="4" w:color="D0D7E2"/>
        </w:tblBorders>
      </w:tblPr>
      <w:tblGrid>
        <w:gridCol w:w="2600"/>
        <w:gridCol w:w="6760"/>
      </w:tblGrid>
      <w:tr>
        <w:trPr>
          <w:tblHeader/>
        </w:trPr>
        <w:tc>
          <w:tcPr>
            <w:tcW w:w="2600" w:type="dxa"/>
            <w:vAlign w:val="center"/>
            <w:tcMar>
              <w:top w:w="80" w:type="dxa"/>
              <w:bottom w:w="80" w:type="dxa"/>
              <w:start w:w="120" w:type="dxa"/>
              <w:end w:w="120" w:type="dxa"/>
            </w:tcMar>
            <w:shd w:val="clear" w:color="auto" w:fill="F2F4F7"/>
          </w:tcPr>
          <w:p>
            <w:pPr>
              <w:spacing w:after="0" w:line="280" w:lineRule="auto"/>
            </w:pPr>
            <w:r>
              <w:rPr>
                <w:b/>
              </w:rPr>
              <w:t xml:space="preserve">Strength</w:t>
            </w:r>
          </w:p>
        </w:tc>
        <w:tc>
          <w:tcPr>
            <w:tcW w:w="6760" w:type="dxa"/>
            <w:vAlign w:val="center"/>
            <w:tcMar>
              <w:top w:w="80" w:type="dxa"/>
              <w:bottom w:w="80" w:type="dxa"/>
              <w:start w:w="120" w:type="dxa"/>
              <w:end w:w="120" w:type="dxa"/>
            </w:tcMar>
            <w:shd w:val="clear" w:color="auto" w:fill="F2F4F7"/>
          </w:tcPr>
          <w:p>
            <w:pPr>
              <w:spacing w:after="0" w:line="280" w:lineRule="auto"/>
            </w:pPr>
            <w:r>
              <w:rPr>
                <w:b/>
              </w:rPr>
              <w:t xml:space="preserve">Why it matters</w:t>
            </w:r>
          </w:p>
        </w:tc>
      </w:tr>
      <w:tr>
        <w:tc>
          <w:tcPr>
            <w:tcW w:w="2600" w:type="dxa"/>
            <w:vAlign w:val="center"/>
            <w:tcMar>
              <w:top w:w="80" w:type="dxa"/>
              <w:bottom w:w="80" w:type="dxa"/>
              <w:start w:w="120" w:type="dxa"/>
              <w:end w:w="120" w:type="dxa"/>
            </w:tcMar>
          </w:tcPr>
          <w:p>
            <w:pPr>
              <w:jc w:val="center"/>
              <w:spacing w:after="0" w:line="280" w:lineRule="auto"/>
            </w:pPr>
            <w:r>
              <w:t xml:space="preserve">Role-aware workflow</w:t>
            </w:r>
          </w:p>
        </w:tc>
        <w:tc>
          <w:tcPr>
            <w:tcW w:w="6760" w:type="dxa"/>
            <w:vAlign w:val="center"/>
            <w:tcMar>
              <w:top w:w="80" w:type="dxa"/>
              <w:bottom w:w="80" w:type="dxa"/>
              <w:start w:w="120" w:type="dxa"/>
              <w:end w:w="120" w:type="dxa"/>
            </w:tcMar>
          </w:tcPr>
          <w:p>
            <w:pPr>
              <w:jc w:val="center"/>
              <w:spacing w:after="0" w:line="280" w:lineRule="auto"/>
            </w:pPr>
            <w:r>
              <w:t xml:space="preserve">The system treats students, lecturers, technicians, and admins as distinct operational actors instead of using one generic user experience.</w:t>
            </w:r>
          </w:p>
        </w:tc>
      </w:tr>
      <w:tr>
        <w:tc>
          <w:tcPr>
            <w:tcW w:w="2600" w:type="dxa"/>
            <w:vAlign w:val="center"/>
            <w:tcMar>
              <w:top w:w="80" w:type="dxa"/>
              <w:bottom w:w="80" w:type="dxa"/>
              <w:start w:w="120" w:type="dxa"/>
              <w:end w:w="120" w:type="dxa"/>
            </w:tcMar>
          </w:tcPr>
          <w:p>
            <w:pPr>
              <w:jc w:val="center"/>
              <w:spacing w:after="0" w:line="280" w:lineRule="auto"/>
            </w:pPr>
            <w:r>
              <w:t xml:space="preserve">Controlled repair lifecycle</w:t>
            </w:r>
          </w:p>
        </w:tc>
        <w:tc>
          <w:tcPr>
            <w:tcW w:w="6760" w:type="dxa"/>
            <w:vAlign w:val="center"/>
            <w:tcMar>
              <w:top w:w="80" w:type="dxa"/>
              <w:bottom w:w="80" w:type="dxa"/>
              <w:start w:w="120" w:type="dxa"/>
              <w:end w:w="120" w:type="dxa"/>
            </w:tcMar>
          </w:tcPr>
          <w:p>
            <w:pPr>
              <w:jc w:val="center"/>
              <w:spacing w:after="0" w:line="280" w:lineRule="auto"/>
            </w:pPr>
            <w:r>
              <w:t xml:space="preserve">Status transitions are constrained, tested, and timeline-friendly, which reduces inconsistent repair records.</w:t>
            </w:r>
          </w:p>
        </w:tc>
      </w:tr>
      <w:tr>
        <w:tc>
          <w:tcPr>
            <w:tcW w:w="2600" w:type="dxa"/>
            <w:vAlign w:val="center"/>
            <w:tcMar>
              <w:top w:w="80" w:type="dxa"/>
              <w:bottom w:w="80" w:type="dxa"/>
              <w:start w:w="120" w:type="dxa"/>
              <w:end w:w="120" w:type="dxa"/>
            </w:tcMar>
          </w:tcPr>
          <w:p>
            <w:pPr>
              <w:jc w:val="center"/>
              <w:spacing w:after="0" w:line="280" w:lineRule="auto"/>
            </w:pPr>
            <w:r>
              <w:t xml:space="preserve">Server-side authorization</w:t>
            </w:r>
          </w:p>
        </w:tc>
        <w:tc>
          <w:tcPr>
            <w:tcW w:w="6760" w:type="dxa"/>
            <w:vAlign w:val="center"/>
            <w:tcMar>
              <w:top w:w="80" w:type="dxa"/>
              <w:bottom w:w="80" w:type="dxa"/>
              <w:start w:w="120" w:type="dxa"/>
              <w:end w:w="120" w:type="dxa"/>
            </w:tcMar>
          </w:tcPr>
          <w:p>
            <w:pPr>
              <w:jc w:val="center"/>
              <w:spacing w:after="0" w:line="280" w:lineRule="auto"/>
            </w:pPr>
            <w:r>
              <w:t xml:space="preserve">The implementation protects data access at route/service level, including owner and technician assignment checks.</w:t>
            </w:r>
          </w:p>
        </w:tc>
      </w:tr>
      <w:tr>
        <w:tc>
          <w:tcPr>
            <w:tcW w:w="2600" w:type="dxa"/>
            <w:vAlign w:val="center"/>
            <w:tcMar>
              <w:top w:w="80" w:type="dxa"/>
              <w:bottom w:w="80" w:type="dxa"/>
              <w:start w:w="120" w:type="dxa"/>
              <w:end w:w="120" w:type="dxa"/>
            </w:tcMar>
          </w:tcPr>
          <w:p>
            <w:pPr>
              <w:jc w:val="center"/>
              <w:spacing w:after="0" w:line="280" w:lineRule="auto"/>
            </w:pPr>
            <w:r>
              <w:t xml:space="preserve">Useful MVP analytics</w:t>
            </w:r>
          </w:p>
        </w:tc>
        <w:tc>
          <w:tcPr>
            <w:tcW w:w="6760" w:type="dxa"/>
            <w:vAlign w:val="center"/>
            <w:tcMar>
              <w:top w:w="80" w:type="dxa"/>
              <w:bottom w:w="80" w:type="dxa"/>
              <w:start w:w="120" w:type="dxa"/>
              <w:end w:w="120" w:type="dxa"/>
            </w:tcMar>
          </w:tcPr>
          <w:p>
            <w:pPr>
              <w:jc w:val="center"/>
              <w:spacing w:after="0" w:line="280" w:lineRule="auto"/>
            </w:pPr>
            <w:r>
              <w:t xml:space="preserve">Reports already answer practical admin questions: status load, faculty demand, device mix, monthly trend, common keywords, and technician performance.</w:t>
            </w:r>
          </w:p>
        </w:tc>
      </w:tr>
      <w:tr>
        <w:tc>
          <w:tcPr>
            <w:tcW w:w="2600" w:type="dxa"/>
            <w:vAlign w:val="center"/>
            <w:tcMar>
              <w:top w:w="80" w:type="dxa"/>
              <w:bottom w:w="80" w:type="dxa"/>
              <w:start w:w="120" w:type="dxa"/>
              <w:end w:w="120" w:type="dxa"/>
            </w:tcMar>
          </w:tcPr>
          <w:p>
            <w:pPr>
              <w:jc w:val="center"/>
              <w:spacing w:after="0" w:line="280" w:lineRule="auto"/>
            </w:pPr>
            <w:r>
              <w:t xml:space="preserve">Test coverage breadth</w:t>
            </w:r>
          </w:p>
        </w:tc>
        <w:tc>
          <w:tcPr>
            <w:tcW w:w="6760" w:type="dxa"/>
            <w:vAlign w:val="center"/>
            <w:tcMar>
              <w:top w:w="80" w:type="dxa"/>
              <w:bottom w:w="80" w:type="dxa"/>
              <w:start w:w="120" w:type="dxa"/>
              <w:end w:w="120" w:type="dxa"/>
            </w:tcMar>
          </w:tcPr>
          <w:p>
            <w:pPr>
              <w:jc w:val="center"/>
              <w:spacing w:after="0" w:line="280" w:lineRule="auto"/>
            </w:pPr>
            <w:r>
              <w:t xml:space="preserve">Tests cover auth, validation, route behavior, authorization, dashboards, uploads, reports, notifications, seed helpers, and status logic.</w:t>
            </w:r>
          </w:p>
        </w:tc>
      </w:tr>
      <w:tr>
        <w:tc>
          <w:tcPr>
            <w:tcW w:w="2600" w:type="dxa"/>
            <w:vAlign w:val="center"/>
            <w:tcMar>
              <w:top w:w="80" w:type="dxa"/>
              <w:bottom w:w="80" w:type="dxa"/>
              <w:start w:w="120" w:type="dxa"/>
              <w:end w:w="120" w:type="dxa"/>
            </w:tcMar>
          </w:tcPr>
          <w:p>
            <w:pPr>
              <w:jc w:val="center"/>
              <w:spacing w:after="0" w:line="280" w:lineRule="auto"/>
            </w:pPr>
            <w:r>
              <w:t xml:space="preserve">Professional UI direction</w:t>
            </w:r>
          </w:p>
        </w:tc>
        <w:tc>
          <w:tcPr>
            <w:tcW w:w="6760" w:type="dxa"/>
            <w:vAlign w:val="center"/>
            <w:tcMar>
              <w:top w:w="80" w:type="dxa"/>
              <w:bottom w:w="80" w:type="dxa"/>
              <w:start w:w="120" w:type="dxa"/>
              <w:end w:w="120" w:type="dxa"/>
            </w:tcMar>
          </w:tcPr>
          <w:p>
            <w:pPr>
              <w:jc w:val="center"/>
              <w:spacing w:after="0" w:line="280" w:lineRule="auto"/>
            </w:pPr>
            <w:r>
              <w:t xml:space="preserve">The current navy/blue design system is more institution-ready than the original generic interface and better supports dashboards and dense operational views.</w:t>
            </w:r>
          </w:p>
        </w:tc>
      </w:tr>
    </w:tbl>
    <w:p>
      <w:pPr>
        <w:pStyle w:val="Heading1"/>
      </w:pPr>
      <w:r>
        <w:t xml:space="preserve">7. Weaknesses And Gaps</w:t>
      </w:r>
    </w:p>
    <w:p>
      <w:pPr>
        <w:numPr>
          <w:ilvl w:val="0"/>
          <w:numId w:val="1"/>
        </w:numPr>
      </w:pPr>
      <w:r>
        <w:t xml:space="preserve">Tickets do not yet capture priority, issue title, issue category, or service-level target.</w:t>
      </w:r>
    </w:p>
    <w:p>
      <w:pPr>
        <w:numPr>
          <w:ilvl w:val="0"/>
          <w:numId w:val="1"/>
        </w:numPr>
      </w:pPr>
      <w:r>
        <w:t xml:space="preserve">The lifecycle lacks operational states such as Waiting for Parts, Cancelled, Reopened, or Escalated.</w:t>
      </w:r>
    </w:p>
    <w:p>
      <w:pPr>
        <w:numPr>
          <w:ilvl w:val="0"/>
          <w:numId w:val="1"/>
        </w:numPr>
      </w:pPr>
      <w:r>
        <w:t xml:space="preserve">The schema does not have assignedAt, completedAt, closedBy, or explicit repair duration fields; average repair time is therefore limited by available timestamps.</w:t>
      </w:r>
    </w:p>
    <w:p>
      <w:pPr>
        <w:numPr>
          <w:ilvl w:val="0"/>
          <w:numId w:val="1"/>
        </w:numPr>
      </w:pPr>
      <w:r>
        <w:t xml:space="preserve">Repair logs capture status and notes, but not statusFrom/statusTo, actor role, hours worked, attachment references, or immutable audit metadata.</w:t>
      </w:r>
    </w:p>
    <w:p>
      <w:pPr>
        <w:numPr>
          <w:ilvl w:val="0"/>
          <w:numId w:val="1"/>
        </w:numPr>
      </w:pPr>
      <w:r>
        <w:t xml:space="preserve">Device records lack asset tag, condition, notes, warranty, or a uniqueness rule for serial number.</w:t>
      </w:r>
    </w:p>
    <w:p>
      <w:pPr>
        <w:numPr>
          <w:ilvl w:val="0"/>
          <w:numId w:val="1"/>
        </w:numPr>
      </w:pPr>
      <w:r>
        <w:t xml:space="preserve">Notifications are dashboard-first; email/SMS/WhatsApp delivery is designed for future work but not production-complete.</w:t>
      </w:r>
    </w:p>
    <w:p>
      <w:pPr>
        <w:numPr>
          <w:ilvl w:val="0"/>
          <w:numId w:val="1"/>
        </w:numPr>
      </w:pPr>
      <w:r>
        <w:t xml:space="preserve">There is no password reset or account invitation workflow.</w:t>
      </w:r>
    </w:p>
    <w:p>
      <w:pPr>
        <w:numPr>
          <w:ilvl w:val="0"/>
          <w:numId w:val="1"/>
        </w:numPr>
      </w:pPr>
      <w:r>
        <w:t xml:space="preserve">Reports are not exportable and do not yet include deeper trend visualizations or spare-part analytics.</w:t>
      </w:r>
    </w:p>
    <w:p>
      <w:pPr>
        <w:numPr>
          <w:ilvl w:val="0"/>
          <w:numId w:val="1"/>
        </w:numPr>
      </w:pPr>
      <w:r>
        <w:t xml:space="preserve">There is no inventory/spare-parts module, which limits end-to-end repair operations once hardware replacement becomes common.</w:t>
      </w:r>
    </w:p>
    <w:p>
      <w:pPr>
        <w:numPr>
          <w:ilvl w:val="0"/>
          <w:numId w:val="1"/>
        </w:numPr>
      </w:pPr>
      <w:r>
        <w:t xml:space="preserve">UI has improved, but visual regression and end-to-end browser workflow tests are still missing.</w:t>
      </w:r>
    </w:p>
    <w:p>
      <w:pPr>
        <w:pStyle w:val="Heading1"/>
      </w:pPr>
      <w:r>
        <w:t xml:space="preserve">8. Improvement Roadmap</w:t>
      </w:r>
    </w:p>
    <w:tbl>
      <w:tblPr>
        <w:tblStyle w:val="TableGrid"/>
        <w:tblW w:w="9360" w:type="dxa"/>
        <w:tblInd w:w="120" w:type="dxa"/>
        <w:tblLayout w:type="fixed"/>
        <w:tblBorders>
          <w:top w:val="single" w:sz="4" w:color="D0D7E2"/>
          <w:left w:val="single" w:sz="4" w:color="D0D7E2"/>
          <w:bottom w:val="single" w:sz="4" w:color="D0D7E2"/>
          <w:right w:val="single" w:sz="4" w:color="D0D7E2"/>
          <w:insideH w:val="single" w:sz="4" w:color="D0D7E2"/>
          <w:insideV w:val="single" w:sz="4" w:color="D0D7E2"/>
        </w:tblBorders>
      </w:tblPr>
      <w:tblGrid>
        <w:gridCol w:w="900"/>
        <w:gridCol w:w="5240"/>
        <w:gridCol w:w="3220"/>
      </w:tblGrid>
      <w:tr>
        <w:trPr>
          <w:tblHeader/>
        </w:trPr>
        <w:tc>
          <w:tcPr>
            <w:tcW w:w="900" w:type="dxa"/>
            <w:vAlign w:val="center"/>
            <w:tcMar>
              <w:top w:w="80" w:type="dxa"/>
              <w:bottom w:w="80" w:type="dxa"/>
              <w:start w:w="120" w:type="dxa"/>
              <w:end w:w="120" w:type="dxa"/>
            </w:tcMar>
            <w:shd w:val="clear" w:color="auto" w:fill="F2F4F7"/>
          </w:tcPr>
          <w:p>
            <w:pPr>
              <w:spacing w:after="0" w:line="280" w:lineRule="auto"/>
            </w:pPr>
            <w:r>
              <w:rPr>
                <w:b/>
              </w:rPr>
              <w:t xml:space="preserve">Priority</w:t>
            </w:r>
          </w:p>
        </w:tc>
        <w:tc>
          <w:tcPr>
            <w:tcW w:w="5240" w:type="dxa"/>
            <w:vAlign w:val="center"/>
            <w:tcMar>
              <w:top w:w="80" w:type="dxa"/>
              <w:bottom w:w="80" w:type="dxa"/>
              <w:start w:w="120" w:type="dxa"/>
              <w:end w:w="120" w:type="dxa"/>
            </w:tcMar>
            <w:shd w:val="clear" w:color="auto" w:fill="F2F4F7"/>
          </w:tcPr>
          <w:p>
            <w:pPr>
              <w:spacing w:after="0" w:line="280" w:lineRule="auto"/>
            </w:pPr>
            <w:r>
              <w:rPr>
                <w:b/>
              </w:rPr>
              <w:t xml:space="preserve">Improvement</w:t>
            </w:r>
          </w:p>
        </w:tc>
        <w:tc>
          <w:tcPr>
            <w:tcW w:w="3220" w:type="dxa"/>
            <w:vAlign w:val="center"/>
            <w:tcMar>
              <w:top w:w="80" w:type="dxa"/>
              <w:bottom w:w="80" w:type="dxa"/>
              <w:start w:w="120" w:type="dxa"/>
              <w:end w:w="120" w:type="dxa"/>
            </w:tcMar>
            <w:shd w:val="clear" w:color="auto" w:fill="F2F4F7"/>
          </w:tcPr>
          <w:p>
            <w:pPr>
              <w:spacing w:after="0" w:line="280" w:lineRule="auto"/>
            </w:pPr>
            <w:r>
              <w:rPr>
                <w:b/>
              </w:rPr>
              <w:t xml:space="preserve">Outcome</w:t>
            </w:r>
          </w:p>
        </w:tc>
      </w:tr>
      <w:tr>
        <w:tc>
          <w:tcPr>
            <w:tcW w:w="900" w:type="dxa"/>
            <w:vAlign w:val="center"/>
            <w:tcMar>
              <w:top w:w="80" w:type="dxa"/>
              <w:bottom w:w="80" w:type="dxa"/>
              <w:start w:w="120" w:type="dxa"/>
              <w:end w:w="120" w:type="dxa"/>
            </w:tcMar>
          </w:tcPr>
          <w:p>
            <w:pPr>
              <w:jc w:val="center"/>
              <w:spacing w:after="0" w:line="280" w:lineRule="auto"/>
            </w:pPr>
            <w:r>
              <w:t xml:space="preserve">P0</w:t>
            </w:r>
          </w:p>
        </w:tc>
        <w:tc>
          <w:tcPr>
            <w:tcW w:w="5240" w:type="dxa"/>
            <w:vAlign w:val="center"/>
            <w:tcMar>
              <w:top w:w="80" w:type="dxa"/>
              <w:bottom w:w="80" w:type="dxa"/>
              <w:start w:w="120" w:type="dxa"/>
              <w:end w:w="120" w:type="dxa"/>
            </w:tcMar>
          </w:tcPr>
          <w:p>
            <w:pPr>
              <w:spacing w:after="0" w:line="280" w:lineRule="auto"/>
            </w:pPr>
            <w:r>
              <w:t xml:space="preserve">Add ticket priority, issue title/category, assignedAt, completedAt, and cancellation/reopen rules.</w:t>
            </w:r>
          </w:p>
        </w:tc>
        <w:tc>
          <w:tcPr>
            <w:tcW w:w="3220" w:type="dxa"/>
            <w:vAlign w:val="center"/>
            <w:tcMar>
              <w:top w:w="80" w:type="dxa"/>
              <w:bottom w:w="80" w:type="dxa"/>
              <w:start w:w="120" w:type="dxa"/>
              <w:end w:w="120" w:type="dxa"/>
            </w:tcMar>
          </w:tcPr>
          <w:p>
            <w:pPr>
              <w:jc w:val="center"/>
              <w:spacing w:after="0" w:line="280" w:lineRule="auto"/>
            </w:pPr>
            <w:r>
              <w:t xml:space="preserve">Better triage, reporting, and lifecycle accuracy.</w:t>
            </w:r>
          </w:p>
        </w:tc>
      </w:tr>
      <w:tr>
        <w:tc>
          <w:tcPr>
            <w:tcW w:w="900" w:type="dxa"/>
            <w:vAlign w:val="center"/>
            <w:tcMar>
              <w:top w:w="80" w:type="dxa"/>
              <w:bottom w:w="80" w:type="dxa"/>
              <w:start w:w="120" w:type="dxa"/>
              <w:end w:w="120" w:type="dxa"/>
            </w:tcMar>
          </w:tcPr>
          <w:p>
            <w:pPr>
              <w:jc w:val="center"/>
              <w:spacing w:after="0" w:line="280" w:lineRule="auto"/>
            </w:pPr>
            <w:r>
              <w:t xml:space="preserve">P0</w:t>
            </w:r>
          </w:p>
        </w:tc>
        <w:tc>
          <w:tcPr>
            <w:tcW w:w="5240" w:type="dxa"/>
            <w:vAlign w:val="center"/>
            <w:tcMar>
              <w:top w:w="80" w:type="dxa"/>
              <w:bottom w:w="80" w:type="dxa"/>
              <w:start w:w="120" w:type="dxa"/>
              <w:end w:w="120" w:type="dxa"/>
            </w:tcMar>
          </w:tcPr>
          <w:p>
            <w:pPr>
              <w:spacing w:after="0" w:line="280" w:lineRule="auto"/>
            </w:pPr>
            <w:r>
              <w:t xml:space="preserve">Add password reset and account invitation/approval flow.</w:t>
            </w:r>
          </w:p>
        </w:tc>
        <w:tc>
          <w:tcPr>
            <w:tcW w:w="3220" w:type="dxa"/>
            <w:vAlign w:val="center"/>
            <w:tcMar>
              <w:top w:w="80" w:type="dxa"/>
              <w:bottom w:w="80" w:type="dxa"/>
              <w:start w:w="120" w:type="dxa"/>
              <w:end w:w="120" w:type="dxa"/>
            </w:tcMar>
          </w:tcPr>
          <w:p>
            <w:pPr>
              <w:jc w:val="center"/>
              <w:spacing w:after="0" w:line="280" w:lineRule="auto"/>
            </w:pPr>
            <w:r>
              <w:t xml:space="preserve">Safer user onboarding and recovery.</w:t>
            </w:r>
          </w:p>
        </w:tc>
      </w:tr>
      <w:tr>
        <w:tc>
          <w:tcPr>
            <w:tcW w:w="900" w:type="dxa"/>
            <w:vAlign w:val="center"/>
            <w:tcMar>
              <w:top w:w="80" w:type="dxa"/>
              <w:bottom w:w="80" w:type="dxa"/>
              <w:start w:w="120" w:type="dxa"/>
              <w:end w:w="120" w:type="dxa"/>
            </w:tcMar>
          </w:tcPr>
          <w:p>
            <w:pPr>
              <w:jc w:val="center"/>
              <w:spacing w:after="0" w:line="280" w:lineRule="auto"/>
            </w:pPr>
            <w:r>
              <w:t xml:space="preserve">P0</w:t>
            </w:r>
          </w:p>
        </w:tc>
        <w:tc>
          <w:tcPr>
            <w:tcW w:w="5240" w:type="dxa"/>
            <w:vAlign w:val="center"/>
            <w:tcMar>
              <w:top w:w="80" w:type="dxa"/>
              <w:bottom w:w="80" w:type="dxa"/>
              <w:start w:w="120" w:type="dxa"/>
              <w:end w:w="120" w:type="dxa"/>
            </w:tcMar>
          </w:tcPr>
          <w:p>
            <w:pPr>
              <w:spacing w:after="0" w:line="280" w:lineRule="auto"/>
            </w:pPr>
            <w:r>
              <w:t xml:space="preserve">Add production deployment runbook, CI checks, and environment/secrets checklist.</w:t>
            </w:r>
          </w:p>
        </w:tc>
        <w:tc>
          <w:tcPr>
            <w:tcW w:w="3220" w:type="dxa"/>
            <w:vAlign w:val="center"/>
            <w:tcMar>
              <w:top w:w="80" w:type="dxa"/>
              <w:bottom w:w="80" w:type="dxa"/>
              <w:start w:w="120" w:type="dxa"/>
              <w:end w:w="120" w:type="dxa"/>
            </w:tcMar>
          </w:tcPr>
          <w:p>
            <w:pPr>
              <w:jc w:val="center"/>
              <w:spacing w:after="0" w:line="280" w:lineRule="auto"/>
            </w:pPr>
            <w:r>
              <w:t xml:space="preserve">Repeatable release process with fewer manual mistakes.</w:t>
            </w:r>
          </w:p>
        </w:tc>
      </w:tr>
      <w:tr>
        <w:tc>
          <w:tcPr>
            <w:tcW w:w="900" w:type="dxa"/>
            <w:vAlign w:val="center"/>
            <w:tcMar>
              <w:top w:w="80" w:type="dxa"/>
              <w:bottom w:w="80" w:type="dxa"/>
              <w:start w:w="120" w:type="dxa"/>
              <w:end w:w="120" w:type="dxa"/>
            </w:tcMar>
          </w:tcPr>
          <w:p>
            <w:pPr>
              <w:jc w:val="center"/>
              <w:spacing w:after="0" w:line="280" w:lineRule="auto"/>
            </w:pPr>
            <w:r>
              <w:t xml:space="preserve">P1</w:t>
            </w:r>
          </w:p>
        </w:tc>
        <w:tc>
          <w:tcPr>
            <w:tcW w:w="5240" w:type="dxa"/>
            <w:vAlign w:val="center"/>
            <w:tcMar>
              <w:top w:w="80" w:type="dxa"/>
              <w:bottom w:w="80" w:type="dxa"/>
              <w:start w:w="120" w:type="dxa"/>
              <w:end w:w="120" w:type="dxa"/>
            </w:tcMar>
          </w:tcPr>
          <w:p>
            <w:pPr>
              <w:spacing w:after="0" w:line="280" w:lineRule="auto"/>
            </w:pPr>
            <w:r>
              <w:t xml:space="preserve">Expand repair logs into an immutable audit trail with actor, statusFrom/statusTo, hours, and attachments.</w:t>
            </w:r>
          </w:p>
        </w:tc>
        <w:tc>
          <w:tcPr>
            <w:tcW w:w="3220" w:type="dxa"/>
            <w:vAlign w:val="center"/>
            <w:tcMar>
              <w:top w:w="80" w:type="dxa"/>
              <w:bottom w:w="80" w:type="dxa"/>
              <w:start w:w="120" w:type="dxa"/>
              <w:end w:w="120" w:type="dxa"/>
            </w:tcMar>
          </w:tcPr>
          <w:p>
            <w:pPr>
              <w:jc w:val="center"/>
              <w:spacing w:after="0" w:line="280" w:lineRule="auto"/>
            </w:pPr>
            <w:r>
              <w:t xml:space="preserve">Stronger accountability and technician performance measurement.</w:t>
            </w:r>
          </w:p>
        </w:tc>
      </w:tr>
      <w:tr>
        <w:tc>
          <w:tcPr>
            <w:tcW w:w="900" w:type="dxa"/>
            <w:vAlign w:val="center"/>
            <w:tcMar>
              <w:top w:w="80" w:type="dxa"/>
              <w:bottom w:w="80" w:type="dxa"/>
              <w:start w:w="120" w:type="dxa"/>
              <w:end w:w="120" w:type="dxa"/>
            </w:tcMar>
          </w:tcPr>
          <w:p>
            <w:pPr>
              <w:jc w:val="center"/>
              <w:spacing w:after="0" w:line="280" w:lineRule="auto"/>
            </w:pPr>
            <w:r>
              <w:t xml:space="preserve">P1</w:t>
            </w:r>
          </w:p>
        </w:tc>
        <w:tc>
          <w:tcPr>
            <w:tcW w:w="5240" w:type="dxa"/>
            <w:vAlign w:val="center"/>
            <w:tcMar>
              <w:top w:w="80" w:type="dxa"/>
              <w:bottom w:w="80" w:type="dxa"/>
              <w:start w:w="120" w:type="dxa"/>
              <w:end w:w="120" w:type="dxa"/>
            </w:tcMar>
          </w:tcPr>
          <w:p>
            <w:pPr>
              <w:spacing w:after="0" w:line="280" w:lineRule="auto"/>
            </w:pPr>
            <w:r>
              <w:t xml:space="preserve">Add email notification provider and delivery status handling.</w:t>
            </w:r>
          </w:p>
        </w:tc>
        <w:tc>
          <w:tcPr>
            <w:tcW w:w="3220" w:type="dxa"/>
            <w:vAlign w:val="center"/>
            <w:tcMar>
              <w:top w:w="80" w:type="dxa"/>
              <w:bottom w:w="80" w:type="dxa"/>
              <w:start w:w="120" w:type="dxa"/>
              <w:end w:w="120" w:type="dxa"/>
            </w:tcMar>
          </w:tcPr>
          <w:p>
            <w:pPr>
              <w:jc w:val="center"/>
              <w:spacing w:after="0" w:line="280" w:lineRule="auto"/>
            </w:pPr>
            <w:r>
              <w:t xml:space="preserve">Users receive repair updates outside the dashboard.</w:t>
            </w:r>
          </w:p>
        </w:tc>
      </w:tr>
      <w:tr>
        <w:tc>
          <w:tcPr>
            <w:tcW w:w="900" w:type="dxa"/>
            <w:vAlign w:val="center"/>
            <w:tcMar>
              <w:top w:w="80" w:type="dxa"/>
              <w:bottom w:w="80" w:type="dxa"/>
              <w:start w:w="120" w:type="dxa"/>
              <w:end w:w="120" w:type="dxa"/>
            </w:tcMar>
          </w:tcPr>
          <w:p>
            <w:pPr>
              <w:jc w:val="center"/>
              <w:spacing w:after="0" w:line="280" w:lineRule="auto"/>
            </w:pPr>
            <w:r>
              <w:t xml:space="preserve">P1</w:t>
            </w:r>
          </w:p>
        </w:tc>
        <w:tc>
          <w:tcPr>
            <w:tcW w:w="5240" w:type="dxa"/>
            <w:vAlign w:val="center"/>
            <w:tcMar>
              <w:top w:w="80" w:type="dxa"/>
              <w:bottom w:w="80" w:type="dxa"/>
              <w:start w:w="120" w:type="dxa"/>
              <w:end w:w="120" w:type="dxa"/>
            </w:tcMar>
          </w:tcPr>
          <w:p>
            <w:pPr>
              <w:spacing w:after="0" w:line="280" w:lineRule="auto"/>
            </w:pPr>
            <w:r>
              <w:t xml:space="preserve">Add exportable reports and visual charts for admin analytics.</w:t>
            </w:r>
          </w:p>
        </w:tc>
        <w:tc>
          <w:tcPr>
            <w:tcW w:w="3220" w:type="dxa"/>
            <w:vAlign w:val="center"/>
            <w:tcMar>
              <w:top w:w="80" w:type="dxa"/>
              <w:bottom w:w="80" w:type="dxa"/>
              <w:start w:w="120" w:type="dxa"/>
              <w:end w:w="120" w:type="dxa"/>
            </w:tcMar>
          </w:tcPr>
          <w:p>
            <w:pPr>
              <w:jc w:val="center"/>
              <w:spacing w:after="0" w:line="280" w:lineRule="auto"/>
            </w:pPr>
            <w:r>
              <w:t xml:space="preserve">Leadership can share and archive operational reports.</w:t>
            </w:r>
          </w:p>
        </w:tc>
      </w:tr>
      <w:tr>
        <w:tc>
          <w:tcPr>
            <w:tcW w:w="900" w:type="dxa"/>
            <w:vAlign w:val="center"/>
            <w:tcMar>
              <w:top w:w="80" w:type="dxa"/>
              <w:bottom w:w="80" w:type="dxa"/>
              <w:start w:w="120" w:type="dxa"/>
              <w:end w:w="120" w:type="dxa"/>
            </w:tcMar>
          </w:tcPr>
          <w:p>
            <w:pPr>
              <w:jc w:val="center"/>
              <w:spacing w:after="0" w:line="280" w:lineRule="auto"/>
            </w:pPr>
            <w:r>
              <w:t xml:space="preserve">P1</w:t>
            </w:r>
          </w:p>
        </w:tc>
        <w:tc>
          <w:tcPr>
            <w:tcW w:w="5240" w:type="dxa"/>
            <w:vAlign w:val="center"/>
            <w:tcMar>
              <w:top w:w="80" w:type="dxa"/>
              <w:bottom w:w="80" w:type="dxa"/>
              <w:start w:w="120" w:type="dxa"/>
              <w:end w:w="120" w:type="dxa"/>
            </w:tcMar>
          </w:tcPr>
          <w:p>
            <w:pPr>
              <w:spacing w:after="0" w:line="280" w:lineRule="auto"/>
            </w:pPr>
            <w:r>
              <w:t xml:space="preserve">Add Playwright or Cypress E2E tests for critical role flows.</w:t>
            </w:r>
          </w:p>
        </w:tc>
        <w:tc>
          <w:tcPr>
            <w:tcW w:w="3220" w:type="dxa"/>
            <w:vAlign w:val="center"/>
            <w:tcMar>
              <w:top w:w="80" w:type="dxa"/>
              <w:bottom w:w="80" w:type="dxa"/>
              <w:start w:w="120" w:type="dxa"/>
              <w:end w:w="120" w:type="dxa"/>
            </w:tcMar>
          </w:tcPr>
          <w:p>
            <w:pPr>
              <w:jc w:val="center"/>
              <w:spacing w:after="0" w:line="280" w:lineRule="auto"/>
            </w:pPr>
            <w:r>
              <w:t xml:space="preserve">Better confidence that UI and backend continue working together.</w:t>
            </w:r>
          </w:p>
        </w:tc>
      </w:tr>
      <w:tr>
        <w:tc>
          <w:tcPr>
            <w:tcW w:w="900" w:type="dxa"/>
            <w:vAlign w:val="center"/>
            <w:tcMar>
              <w:top w:w="80" w:type="dxa"/>
              <w:bottom w:w="80" w:type="dxa"/>
              <w:start w:w="120" w:type="dxa"/>
              <w:end w:w="120" w:type="dxa"/>
            </w:tcMar>
          </w:tcPr>
          <w:p>
            <w:pPr>
              <w:jc w:val="center"/>
              <w:spacing w:after="0" w:line="280" w:lineRule="auto"/>
            </w:pPr>
            <w:r>
              <w:t xml:space="preserve">P2</w:t>
            </w:r>
          </w:p>
        </w:tc>
        <w:tc>
          <w:tcPr>
            <w:tcW w:w="5240" w:type="dxa"/>
            <w:vAlign w:val="center"/>
            <w:tcMar>
              <w:top w:w="80" w:type="dxa"/>
              <w:bottom w:w="80" w:type="dxa"/>
              <w:start w:w="120" w:type="dxa"/>
              <w:end w:w="120" w:type="dxa"/>
            </w:tcMar>
          </w:tcPr>
          <w:p>
            <w:pPr>
              <w:spacing w:after="0" w:line="280" w:lineRule="auto"/>
            </w:pPr>
            <w:r>
              <w:t xml:space="preserve">Introduce inventory and spare-parts requests.</w:t>
            </w:r>
          </w:p>
        </w:tc>
        <w:tc>
          <w:tcPr>
            <w:tcW w:w="3220" w:type="dxa"/>
            <w:vAlign w:val="center"/>
            <w:tcMar>
              <w:top w:w="80" w:type="dxa"/>
              <w:bottom w:w="80" w:type="dxa"/>
              <w:start w:w="120" w:type="dxa"/>
              <w:end w:w="120" w:type="dxa"/>
            </w:tcMar>
          </w:tcPr>
          <w:p>
            <w:pPr>
              <w:jc w:val="center"/>
              <w:spacing w:after="0" w:line="280" w:lineRule="auto"/>
            </w:pPr>
            <w:r>
              <w:t xml:space="preserve">Supports real repair operations beyond diagnosis and tracking.</w:t>
            </w:r>
          </w:p>
        </w:tc>
      </w:tr>
      <w:tr>
        <w:tc>
          <w:tcPr>
            <w:tcW w:w="900" w:type="dxa"/>
            <w:vAlign w:val="center"/>
            <w:tcMar>
              <w:top w:w="80" w:type="dxa"/>
              <w:bottom w:w="80" w:type="dxa"/>
              <w:start w:w="120" w:type="dxa"/>
              <w:end w:w="120" w:type="dxa"/>
            </w:tcMar>
          </w:tcPr>
          <w:p>
            <w:pPr>
              <w:jc w:val="center"/>
              <w:spacing w:after="0" w:line="280" w:lineRule="auto"/>
            </w:pPr>
            <w:r>
              <w:t xml:space="preserve">P2</w:t>
            </w:r>
          </w:p>
        </w:tc>
        <w:tc>
          <w:tcPr>
            <w:tcW w:w="5240" w:type="dxa"/>
            <w:vAlign w:val="center"/>
            <w:tcMar>
              <w:top w:w="80" w:type="dxa"/>
              <w:bottom w:w="80" w:type="dxa"/>
              <w:start w:w="120" w:type="dxa"/>
              <w:end w:w="120" w:type="dxa"/>
            </w:tcMar>
          </w:tcPr>
          <w:p>
            <w:pPr>
              <w:spacing w:after="0" w:line="280" w:lineRule="auto"/>
            </w:pPr>
            <w:r>
              <w:t xml:space="preserve">Integrate SIMAD portal or university identity source.</w:t>
            </w:r>
          </w:p>
        </w:tc>
        <w:tc>
          <w:tcPr>
            <w:tcW w:w="3220" w:type="dxa"/>
            <w:vAlign w:val="center"/>
            <w:tcMar>
              <w:top w:w="80" w:type="dxa"/>
              <w:bottom w:w="80" w:type="dxa"/>
              <w:start w:w="120" w:type="dxa"/>
              <w:end w:w="120" w:type="dxa"/>
            </w:tcMar>
          </w:tcPr>
          <w:p>
            <w:pPr>
              <w:jc w:val="center"/>
              <w:spacing w:after="0" w:line="280" w:lineRule="auto"/>
            </w:pPr>
            <w:r>
              <w:t xml:space="preserve">Reduces duplicate user records and improves identity reliability.</w:t>
            </w:r>
          </w:p>
        </w:tc>
      </w:tr>
      <w:tr>
        <w:tc>
          <w:tcPr>
            <w:tcW w:w="900" w:type="dxa"/>
            <w:vAlign w:val="center"/>
            <w:tcMar>
              <w:top w:w="80" w:type="dxa"/>
              <w:bottom w:w="80" w:type="dxa"/>
              <w:start w:w="120" w:type="dxa"/>
              <w:end w:w="120" w:type="dxa"/>
            </w:tcMar>
          </w:tcPr>
          <w:p>
            <w:pPr>
              <w:jc w:val="center"/>
              <w:spacing w:after="0" w:line="280" w:lineRule="auto"/>
            </w:pPr>
            <w:r>
              <w:t xml:space="preserve">P2</w:t>
            </w:r>
          </w:p>
        </w:tc>
        <w:tc>
          <w:tcPr>
            <w:tcW w:w="5240" w:type="dxa"/>
            <w:vAlign w:val="center"/>
            <w:tcMar>
              <w:top w:w="80" w:type="dxa"/>
              <w:bottom w:w="80" w:type="dxa"/>
              <w:start w:w="120" w:type="dxa"/>
              <w:end w:w="120" w:type="dxa"/>
            </w:tcMar>
          </w:tcPr>
          <w:p>
            <w:pPr>
              <w:spacing w:after="0" w:line="280" w:lineRule="auto"/>
            </w:pPr>
            <w:r>
              <w:t xml:space="preserve">Add AI-assisted issue classification and recommended diagnosis templates.</w:t>
            </w:r>
          </w:p>
        </w:tc>
        <w:tc>
          <w:tcPr>
            <w:tcW w:w="3220" w:type="dxa"/>
            <w:vAlign w:val="center"/>
            <w:tcMar>
              <w:top w:w="80" w:type="dxa"/>
              <w:bottom w:w="80" w:type="dxa"/>
              <w:start w:w="120" w:type="dxa"/>
              <w:end w:w="120" w:type="dxa"/>
            </w:tcMar>
          </w:tcPr>
          <w:p>
            <w:pPr>
              <w:jc w:val="center"/>
              <w:spacing w:after="0" w:line="280" w:lineRule="auto"/>
            </w:pPr>
            <w:r>
              <w:t xml:space="preserve">Speeds up technician intake and reporting consistency.</w:t>
            </w:r>
          </w:p>
        </w:tc>
      </w:tr>
    </w:tbl>
    <w:p>
      <w:pPr>
        <w:pStyle w:val="Heading1"/>
      </w:pPr>
      <w:r>
        <w:t xml:space="preserve">9. Readiness Assessment</w:t>
      </w:r>
    </w:p>
    <w:tbl>
      <w:tblPr>
        <w:tblStyle w:val="TableGrid"/>
        <w:tblW w:w="9360" w:type="dxa"/>
        <w:tblInd w:w="120" w:type="dxa"/>
        <w:tblLayout w:type="fixed"/>
        <w:tblBorders>
          <w:top w:val="single" w:sz="4" w:color="D0D7E2"/>
          <w:left w:val="single" w:sz="4" w:color="D0D7E2"/>
          <w:bottom w:val="single" w:sz="4" w:color="D0D7E2"/>
          <w:right w:val="single" w:sz="4" w:color="D0D7E2"/>
          <w:insideH w:val="single" w:sz="4" w:color="D0D7E2"/>
          <w:insideV w:val="single" w:sz="4" w:color="D0D7E2"/>
        </w:tblBorders>
      </w:tblPr>
      <w:tblGrid>
        <w:gridCol w:w="2100"/>
        <w:gridCol w:w="1700"/>
        <w:gridCol w:w="5560"/>
      </w:tblGrid>
      <w:tr>
        <w:trPr>
          <w:tblHeader/>
        </w:trPr>
        <w:tc>
          <w:tcPr>
            <w:tcW w:w="2100" w:type="dxa"/>
            <w:vAlign w:val="center"/>
            <w:tcMar>
              <w:top w:w="80" w:type="dxa"/>
              <w:bottom w:w="80" w:type="dxa"/>
              <w:start w:w="120" w:type="dxa"/>
              <w:end w:w="120" w:type="dxa"/>
            </w:tcMar>
            <w:shd w:val="clear" w:color="auto" w:fill="F2F4F7"/>
          </w:tcPr>
          <w:p>
            <w:pPr>
              <w:spacing w:after="0" w:line="280" w:lineRule="auto"/>
            </w:pPr>
            <w:r>
              <w:rPr>
                <w:b/>
              </w:rPr>
              <w:t xml:space="preserve">Dimension</w:t>
            </w:r>
          </w:p>
        </w:tc>
        <w:tc>
          <w:tcPr>
            <w:tcW w:w="1700" w:type="dxa"/>
            <w:vAlign w:val="center"/>
            <w:tcMar>
              <w:top w:w="80" w:type="dxa"/>
              <w:bottom w:w="80" w:type="dxa"/>
              <w:start w:w="120" w:type="dxa"/>
              <w:end w:w="120" w:type="dxa"/>
            </w:tcMar>
            <w:shd w:val="clear" w:color="auto" w:fill="F2F4F7"/>
          </w:tcPr>
          <w:p>
            <w:pPr>
              <w:spacing w:after="0" w:line="280" w:lineRule="auto"/>
            </w:pPr>
            <w:r>
              <w:rPr>
                <w:b/>
              </w:rPr>
              <w:t xml:space="preserve">Readiness</w:t>
            </w:r>
          </w:p>
        </w:tc>
        <w:tc>
          <w:tcPr>
            <w:tcW w:w="5560" w:type="dxa"/>
            <w:vAlign w:val="center"/>
            <w:tcMar>
              <w:top w:w="80" w:type="dxa"/>
              <w:bottom w:w="80" w:type="dxa"/>
              <w:start w:w="120" w:type="dxa"/>
              <w:end w:w="120" w:type="dxa"/>
            </w:tcMar>
            <w:shd w:val="clear" w:color="auto" w:fill="F2F4F7"/>
          </w:tcPr>
          <w:p>
            <w:pPr>
              <w:spacing w:after="0" w:line="280" w:lineRule="auto"/>
            </w:pPr>
            <w:r>
              <w:rPr>
                <w:b/>
              </w:rPr>
              <w:t xml:space="preserve">Notes</w:t>
            </w:r>
          </w:p>
        </w:tc>
      </w:tr>
      <w:tr>
        <w:tc>
          <w:tcPr>
            <w:tcW w:w="2100" w:type="dxa"/>
            <w:vAlign w:val="center"/>
            <w:tcMar>
              <w:top w:w="80" w:type="dxa"/>
              <w:bottom w:w="80" w:type="dxa"/>
              <w:start w:w="120" w:type="dxa"/>
              <w:end w:w="120" w:type="dxa"/>
            </w:tcMar>
          </w:tcPr>
          <w:p>
            <w:pPr>
              <w:jc w:val="center"/>
              <w:spacing w:after="0" w:line="280" w:lineRule="auto"/>
            </w:pPr>
            <w:r>
              <w:t xml:space="preserve">MVP feature scope</w:t>
            </w:r>
          </w:p>
        </w:tc>
        <w:tc>
          <w:tcPr>
            <w:tcW w:w="1700" w:type="dxa"/>
            <w:vAlign w:val="center"/>
            <w:tcMar>
              <w:top w:w="80" w:type="dxa"/>
              <w:bottom w:w="80" w:type="dxa"/>
              <w:start w:w="120" w:type="dxa"/>
              <w:end w:w="120" w:type="dxa"/>
            </w:tcMar>
          </w:tcPr>
          <w:p>
            <w:pPr>
              <w:spacing w:after="0" w:line="280" w:lineRule="auto"/>
            </w:pPr>
            <w:r>
              <w:t xml:space="preserve">High</w:t>
            </w:r>
          </w:p>
        </w:tc>
        <w:tc>
          <w:tcPr>
            <w:tcW w:w="5560" w:type="dxa"/>
            <w:vAlign w:val="center"/>
            <w:tcMar>
              <w:top w:w="80" w:type="dxa"/>
              <w:bottom w:w="80" w:type="dxa"/>
              <w:start w:w="120" w:type="dxa"/>
              <w:end w:w="120" w:type="dxa"/>
            </w:tcMar>
          </w:tcPr>
          <w:p>
            <w:pPr>
              <w:jc w:val="center"/>
              <w:spacing w:after="0" w:line="280" w:lineRule="auto"/>
            </w:pPr>
            <w:r>
              <w:t xml:space="preserve">Most planned core features are present.</w:t>
            </w:r>
          </w:p>
        </w:tc>
      </w:tr>
      <w:tr>
        <w:tc>
          <w:tcPr>
            <w:tcW w:w="2100" w:type="dxa"/>
            <w:vAlign w:val="center"/>
            <w:tcMar>
              <w:top w:w="80" w:type="dxa"/>
              <w:bottom w:w="80" w:type="dxa"/>
              <w:start w:w="120" w:type="dxa"/>
              <w:end w:w="120" w:type="dxa"/>
            </w:tcMar>
          </w:tcPr>
          <w:p>
            <w:pPr>
              <w:jc w:val="center"/>
              <w:spacing w:after="0" w:line="280" w:lineRule="auto"/>
            </w:pPr>
            <w:r>
              <w:t xml:space="preserve">Security baseline</w:t>
            </w:r>
          </w:p>
        </w:tc>
        <w:tc>
          <w:tcPr>
            <w:tcW w:w="1700" w:type="dxa"/>
            <w:vAlign w:val="center"/>
            <w:tcMar>
              <w:top w:w="80" w:type="dxa"/>
              <w:bottom w:w="80" w:type="dxa"/>
              <w:start w:w="120" w:type="dxa"/>
              <w:end w:w="120" w:type="dxa"/>
            </w:tcMar>
          </w:tcPr>
          <w:p>
            <w:pPr>
              <w:spacing w:after="0" w:line="280" w:lineRule="auto"/>
            </w:pPr>
            <w:r>
              <w:t xml:space="preserve">Medium-high</w:t>
            </w:r>
          </w:p>
        </w:tc>
        <w:tc>
          <w:tcPr>
            <w:tcW w:w="5560" w:type="dxa"/>
            <w:vAlign w:val="center"/>
            <w:tcMar>
              <w:top w:w="80" w:type="dxa"/>
              <w:bottom w:w="80" w:type="dxa"/>
              <w:start w:w="120" w:type="dxa"/>
              <w:end w:w="120" w:type="dxa"/>
            </w:tcMar>
          </w:tcPr>
          <w:p>
            <w:pPr>
              <w:jc w:val="center"/>
              <w:spacing w:after="0" w:line="280" w:lineRule="auto"/>
            </w:pPr>
            <w:r>
              <w:t xml:space="preserve">Good auth/authorization baseline; add password reset, audit logs, and deployment controls.</w:t>
            </w:r>
          </w:p>
        </w:tc>
      </w:tr>
      <w:tr>
        <w:tc>
          <w:tcPr>
            <w:tcW w:w="2100" w:type="dxa"/>
            <w:vAlign w:val="center"/>
            <w:tcMar>
              <w:top w:w="80" w:type="dxa"/>
              <w:bottom w:w="80" w:type="dxa"/>
              <w:start w:w="120" w:type="dxa"/>
              <w:end w:w="120" w:type="dxa"/>
            </w:tcMar>
          </w:tcPr>
          <w:p>
            <w:pPr>
              <w:jc w:val="center"/>
              <w:spacing w:after="0" w:line="280" w:lineRule="auto"/>
            </w:pPr>
            <w:r>
              <w:t xml:space="preserve">Operational reporting</w:t>
            </w:r>
          </w:p>
        </w:tc>
        <w:tc>
          <w:tcPr>
            <w:tcW w:w="1700" w:type="dxa"/>
            <w:vAlign w:val="center"/>
            <w:tcMar>
              <w:top w:w="80" w:type="dxa"/>
              <w:bottom w:w="80" w:type="dxa"/>
              <w:start w:w="120" w:type="dxa"/>
              <w:end w:w="120" w:type="dxa"/>
            </w:tcMar>
          </w:tcPr>
          <w:p>
            <w:pPr>
              <w:spacing w:after="0" w:line="280" w:lineRule="auto"/>
            </w:pPr>
            <w:r>
              <w:t xml:space="preserve">Medium</w:t>
            </w:r>
          </w:p>
        </w:tc>
        <w:tc>
          <w:tcPr>
            <w:tcW w:w="5560" w:type="dxa"/>
            <w:vAlign w:val="center"/>
            <w:tcMar>
              <w:top w:w="80" w:type="dxa"/>
              <w:bottom w:w="80" w:type="dxa"/>
              <w:start w:w="120" w:type="dxa"/>
              <w:end w:w="120" w:type="dxa"/>
            </w:tcMar>
          </w:tcPr>
          <w:p>
            <w:pPr>
              <w:jc w:val="center"/>
              <w:spacing w:after="0" w:line="280" w:lineRule="auto"/>
            </w:pPr>
            <w:r>
              <w:t xml:space="preserve">Useful aggregates exist; export, charts, and better duration metadata are still needed.</w:t>
            </w:r>
          </w:p>
        </w:tc>
      </w:tr>
      <w:tr>
        <w:tc>
          <w:tcPr>
            <w:tcW w:w="2100" w:type="dxa"/>
            <w:vAlign w:val="center"/>
            <w:tcMar>
              <w:top w:w="80" w:type="dxa"/>
              <w:bottom w:w="80" w:type="dxa"/>
              <w:start w:w="120" w:type="dxa"/>
              <w:end w:w="120" w:type="dxa"/>
            </w:tcMar>
          </w:tcPr>
          <w:p>
            <w:pPr>
              <w:jc w:val="center"/>
              <w:spacing w:after="0" w:line="280" w:lineRule="auto"/>
            </w:pPr>
            <w:r>
              <w:t xml:space="preserve">Data model maturity</w:t>
            </w:r>
          </w:p>
        </w:tc>
        <w:tc>
          <w:tcPr>
            <w:tcW w:w="1700" w:type="dxa"/>
            <w:vAlign w:val="center"/>
            <w:tcMar>
              <w:top w:w="80" w:type="dxa"/>
              <w:bottom w:w="80" w:type="dxa"/>
              <w:start w:w="120" w:type="dxa"/>
              <w:end w:w="120" w:type="dxa"/>
            </w:tcMar>
          </w:tcPr>
          <w:p>
            <w:pPr>
              <w:spacing w:after="0" w:line="280" w:lineRule="auto"/>
            </w:pPr>
            <w:r>
              <w:t xml:space="preserve">Medium</w:t>
            </w:r>
          </w:p>
        </w:tc>
        <w:tc>
          <w:tcPr>
            <w:tcW w:w="5560" w:type="dxa"/>
            <w:vAlign w:val="center"/>
            <w:tcMar>
              <w:top w:w="80" w:type="dxa"/>
              <w:bottom w:w="80" w:type="dxa"/>
              <w:start w:w="120" w:type="dxa"/>
              <w:end w:w="120" w:type="dxa"/>
            </w:tcMar>
          </w:tcPr>
          <w:p>
            <w:pPr>
              <w:jc w:val="center"/>
              <w:spacing w:after="0" w:line="280" w:lineRule="auto"/>
            </w:pPr>
            <w:r>
              <w:t xml:space="preserve">Strong baseline; needs richer ticket/device/audit fields for production operations.</w:t>
            </w:r>
          </w:p>
        </w:tc>
      </w:tr>
      <w:tr>
        <w:tc>
          <w:tcPr>
            <w:tcW w:w="2100" w:type="dxa"/>
            <w:vAlign w:val="center"/>
            <w:tcMar>
              <w:top w:w="80" w:type="dxa"/>
              <w:bottom w:w="80" w:type="dxa"/>
              <w:start w:w="120" w:type="dxa"/>
              <w:end w:w="120" w:type="dxa"/>
            </w:tcMar>
          </w:tcPr>
          <w:p>
            <w:pPr>
              <w:jc w:val="center"/>
              <w:spacing w:after="0" w:line="280" w:lineRule="auto"/>
            </w:pPr>
            <w:r>
              <w:t xml:space="preserve">UI maturity</w:t>
            </w:r>
          </w:p>
        </w:tc>
        <w:tc>
          <w:tcPr>
            <w:tcW w:w="1700" w:type="dxa"/>
            <w:vAlign w:val="center"/>
            <w:tcMar>
              <w:top w:w="80" w:type="dxa"/>
              <w:bottom w:w="80" w:type="dxa"/>
              <w:start w:w="120" w:type="dxa"/>
              <w:end w:w="120" w:type="dxa"/>
            </w:tcMar>
          </w:tcPr>
          <w:p>
            <w:pPr>
              <w:spacing w:after="0" w:line="280" w:lineRule="auto"/>
            </w:pPr>
            <w:r>
              <w:t xml:space="preserve">Medium-high</w:t>
            </w:r>
          </w:p>
        </w:tc>
        <w:tc>
          <w:tcPr>
            <w:tcW w:w="5560" w:type="dxa"/>
            <w:vAlign w:val="center"/>
            <w:tcMar>
              <w:top w:w="80" w:type="dxa"/>
              <w:bottom w:w="80" w:type="dxa"/>
              <w:start w:w="120" w:type="dxa"/>
              <w:end w:w="120" w:type="dxa"/>
            </w:tcMar>
          </w:tcPr>
          <w:p>
            <w:pPr>
              <w:jc w:val="center"/>
              <w:spacing w:after="0" w:line="280" w:lineRule="auto"/>
            </w:pPr>
            <w:r>
              <w:t xml:space="preserve">Professional redesign exists; needs automated visual/E2E QA and component hardening.</w:t>
            </w:r>
          </w:p>
        </w:tc>
      </w:tr>
      <w:tr>
        <w:tc>
          <w:tcPr>
            <w:tcW w:w="2100" w:type="dxa"/>
            <w:vAlign w:val="center"/>
            <w:tcMar>
              <w:top w:w="80" w:type="dxa"/>
              <w:bottom w:w="80" w:type="dxa"/>
              <w:start w:w="120" w:type="dxa"/>
              <w:end w:w="120" w:type="dxa"/>
            </w:tcMar>
          </w:tcPr>
          <w:p>
            <w:pPr>
              <w:jc w:val="center"/>
              <w:spacing w:after="0" w:line="280" w:lineRule="auto"/>
            </w:pPr>
            <w:r>
              <w:t xml:space="preserve">Production readiness</w:t>
            </w:r>
          </w:p>
        </w:tc>
        <w:tc>
          <w:tcPr>
            <w:tcW w:w="1700" w:type="dxa"/>
            <w:vAlign w:val="center"/>
            <w:tcMar>
              <w:top w:w="80" w:type="dxa"/>
              <w:bottom w:w="80" w:type="dxa"/>
              <w:start w:w="120" w:type="dxa"/>
              <w:end w:w="120" w:type="dxa"/>
            </w:tcMar>
          </w:tcPr>
          <w:p>
            <w:pPr>
              <w:spacing w:after="0" w:line="280" w:lineRule="auto"/>
            </w:pPr>
            <w:r>
              <w:t xml:space="preserve">Medium</w:t>
            </w:r>
          </w:p>
        </w:tc>
        <w:tc>
          <w:tcPr>
            <w:tcW w:w="5560" w:type="dxa"/>
            <w:vAlign w:val="center"/>
            <w:tcMar>
              <w:top w:w="80" w:type="dxa"/>
              <w:bottom w:w="80" w:type="dxa"/>
              <w:start w:w="120" w:type="dxa"/>
              <w:end w:w="120" w:type="dxa"/>
            </w:tcMar>
          </w:tcPr>
          <w:p>
            <w:pPr>
              <w:jc w:val="center"/>
              <w:spacing w:after="0" w:line="280" w:lineRule="auto"/>
            </w:pPr>
            <w:r>
              <w:t xml:space="preserve">Build/test/lint are healthy, but release runbook, CI, monitoring, backups, and notification providers are next.</w:t>
            </w:r>
          </w:p>
        </w:tc>
      </w:tr>
    </w:tbl>
    <w:p>
      <w:pPr>
        <w:pStyle w:val="Heading1"/>
      </w:pPr>
      <w:r>
        <w:t xml:space="preserve">10. Recommended Next Actions</w:t>
      </w:r>
    </w:p>
    <w:p>
      <w:pPr>
        <w:numPr>
          <w:ilvl w:val="0"/>
          <w:numId w:val="2"/>
        </w:numPr>
      </w:pPr>
      <w:r>
        <w:t xml:space="preserve">Freeze the current MVP scope and document the user roles, seed accounts, and manual QA checklist.</w:t>
      </w:r>
    </w:p>
    <w:p>
      <w:pPr>
        <w:numPr>
          <w:ilvl w:val="0"/>
          <w:numId w:val="2"/>
        </w:numPr>
      </w:pPr>
      <w:r>
        <w:t xml:space="preserve">Implement P0 data model additions before more reporting work, because reports need accurate lifecycle timestamps.</w:t>
      </w:r>
    </w:p>
    <w:p>
      <w:pPr>
        <w:numPr>
          <w:ilvl w:val="0"/>
          <w:numId w:val="2"/>
        </w:numPr>
      </w:pPr>
      <w:r>
        <w:t xml:space="preserve">Add a small production hardening milestone: password reset, email provider, CI, deployment runbook, and backup/restore plan.</w:t>
      </w:r>
    </w:p>
    <w:p>
      <w:pPr>
        <w:numPr>
          <w:ilvl w:val="0"/>
          <w:numId w:val="2"/>
        </w:numPr>
      </w:pPr>
      <w:r>
        <w:t xml:space="preserve">Add E2E tests for the four essential journeys: student ticket submission, admin assignment, technician update/logging, and student tracking.</w:t>
      </w:r>
    </w:p>
    <w:p>
      <w:pPr>
        <w:numPr>
          <w:ilvl w:val="0"/>
          <w:numId w:val="2"/>
        </w:numPr>
      </w:pPr>
      <w:r>
        <w:t xml:space="preserve">Create operational SOPs for admins and technicians so the platform is used consistently during maintenance events.</w:t>
      </w:r>
    </w:p>
    <w:p>
      <w:pPr>
        <w:pStyle w:val="Heading1"/>
      </w:pPr>
      <w:r>
        <w:t xml:space="preserve">Appendix A. Evidence Reviewed</w:t>
      </w:r>
    </w:p>
    <w:p>
      <w:pPr>
        <w:numPr>
          <w:ilvl w:val="0"/>
          <w:numId w:val="1"/>
        </w:numPr>
      </w:pPr>
      <w:r>
        <w:t xml:space="preserve">docs/PROJECT_DEFINITION.md and docs/ARCHITECTURE.md for intended product scope and lifecycle.</w:t>
      </w:r>
    </w:p>
    <w:p>
      <w:pPr>
        <w:numPr>
          <w:ilvl w:val="0"/>
          <w:numId w:val="1"/>
        </w:numPr>
      </w:pPr>
      <w:r>
        <w:t xml:space="preserve">docs/DEVELOPMENT_PLAN.md for planned feature order and definition of done.</w:t>
      </w:r>
    </w:p>
    <w:p>
      <w:pPr>
        <w:numPr>
          <w:ilvl w:val="0"/>
          <w:numId w:val="1"/>
        </w:numPr>
      </w:pPr>
      <w:r>
        <w:t xml:space="preserve">prisma/schema.prisma for implemented domain model and indexes.</w:t>
      </w:r>
    </w:p>
    <w:p>
      <w:pPr>
        <w:numPr>
          <w:ilvl w:val="0"/>
          <w:numId w:val="1"/>
        </w:numPr>
      </w:pPr>
      <w:r>
        <w:t xml:space="preserve">src/app/api/* route handlers for implemented API areas.</w:t>
      </w:r>
    </w:p>
    <w:p>
      <w:pPr>
        <w:numPr>
          <w:ilvl w:val="0"/>
          <w:numId w:val="1"/>
        </w:numPr>
      </w:pPr>
      <w:r>
        <w:t xml:space="preserve">src/lib/auth, src/lib/repair-tickets, src/lib/reports, src/lib/validations, and related tests for behavior and quality signals.</w:t>
      </w:r>
    </w:p>
    <w:p>
      <w:pPr>
        <w:numPr>
          <w:ilvl w:val="0"/>
          <w:numId w:val="1"/>
        </w:numPr>
      </w:pPr>
      <w:r>
        <w:t xml:space="preserve">src/app pages and globals.css for the current redesigned UI surface.</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right"/>
    </w:pPr>
    <w:r>
      <w:rPr>
        <w:color w:val="64748B"/>
        <w:sz w:val="18"/>
      </w:rPr>
      <w:t>Page </w:t>
    </w:r>
    <w:fldSimple w:instr="PAGE">
      <w:r>
        <w:rPr>
          <w:color w:val="64748B"/>
          <w:sz w:val="18"/>
        </w:rPr>
        <w:t>1</w:t>
      </w:r>
    </w:fldSimple>
  </w:p>
</w:ftr>
</file>

<file path=word/header1.xml><?xml version="1.0" encoding="utf-8"?>
<w:hdr xmlns:w="http://schemas.openxmlformats.org/wordprocessingml/2006/main">
  <w:p>
    <w:pPr>
      <w:pBdr>
        <w:bottom w:val="single" w:sz="4" w:space="4" w:color="CBD5E1"/>
      </w:pBdr>
      <w:spacing w:after="80"/>
    </w:pPr>
    <w:r>
      <w:rPr>
        <w:color w:val="64748B"/>
        <w:sz w:val="18"/>
      </w:rPr>
      <w:t>FarsamoTech Repair Hub - Platform Analysis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lvl>
  </w:abstractNum>
  <w:abstractNum w:abstractNumId="1">
    <w:multiLevelType w:val="hybridMulti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111827"/>
      </w:rPr>
    </w:rPrDefault>
    <w:pPrDefault>
      <w:pPr>
        <w:spacing w:after="120" w:line="264" w:lineRule="auto"/>
      </w:pPr>
    </w:pPrDefault>
  </w:docDefaults>
  <w:style w:type="paragraph" w:default="1" w:styleId="Normal">
    <w:name w:val="Normal"/>
    <w:qFormat/>
    <w:rPr>
      <w:rFonts w:ascii="Calibri" w:hAnsi="Calibri"/>
      <w:sz w:val="22"/>
      <w:color w:val="111827"/>
    </w:rPr>
    <w:pPr>
      <w:spacing w:after="120" w:line="264" w:lineRule="auto"/>
    </w:pPr>
  </w:style>
  <w:style w:type="paragraph" w:styleId="Title">
    <w:name w:val="Title"/>
    <w:basedOn w:val="Normal"/>
    <w:next w:val="Subtitle"/>
    <w:qFormat/>
    <w:rPr>
      <w:b/>
      <w:rFonts w:ascii="Calibri" w:hAnsi="Calibri"/>
      <w:sz w:val="52"/>
      <w:color w:val="0F172A"/>
    </w:rPr>
    <w:pPr>
      <w:spacing w:before="240" w:after="60"/>
    </w:pPr>
  </w:style>
  <w:style w:type="paragraph" w:styleId="Subtitle">
    <w:name w:val="Subtitle"/>
    <w:basedOn w:val="Normal"/>
    <w:next w:val="Normal"/>
    <w:qFormat/>
    <w:rPr>
      <w:rFonts w:ascii="Calibri" w:hAnsi="Calibri"/>
      <w:sz w:val="28"/>
      <w:color w:val="475569"/>
    </w:rPr>
    <w:pPr>
      <w:spacing w:after="220"/>
    </w:pPr>
  </w:style>
  <w:style w:type="paragraph" w:styleId="Heading1">
    <w:name w:val="heading 1"/>
    <w:basedOn w:val="Normal"/>
    <w:next w:val="Normal"/>
    <w:qFormat/>
    <w:pPr>
      <w:keepNext/>
      <w:spacing w:before="320" w:after="160"/>
    </w:pPr>
    <w:rPr>
      <w:b/>
      <w:rFonts w:ascii="Calibri" w:hAnsi="Calibri"/>
      <w:sz w:val="32"/>
      <w:color w:val="2E74B5"/>
    </w:rPr>
  </w:style>
  <w:style w:type="paragraph" w:styleId="Heading2">
    <w:name w:val="heading 2"/>
    <w:basedOn w:val="Normal"/>
    <w:next w:val="Normal"/>
    <w:qFormat/>
    <w:pPr>
      <w:keepNext/>
      <w:spacing w:before="240" w:after="120"/>
    </w:pPr>
    <w:rPr>
      <w:b/>
      <w:rFonts w:ascii="Calibri" w:hAnsi="Calibri"/>
      <w:sz w:val="26"/>
      <w:color w:val="2E74B5"/>
    </w:rPr>
  </w:style>
  <w:style w:type="paragraph" w:styleId="Heading3">
    <w:name w:val="heading 3"/>
    <w:basedOn w:val="Normal"/>
    <w:next w:val="Normal"/>
    <w:qFormat/>
    <w:pPr>
      <w:keepNext/>
      <w:spacing w:before="160" w:after="80"/>
    </w:pPr>
    <w:rPr>
      <w:b/>
      <w:rFonts w:ascii="Calibri" w:hAnsi="Calibri"/>
      <w:sz w:val="24"/>
      <w:color w:val="1F4D78"/>
    </w:rPr>
  </w:style>
  <w:style w:type="table" w:styleId="TableGrid">
    <w:name w:val="Table Grid"/>
    <w:basedOn w:val="TableNormal"/>
    <w:uiPriority w:val="39"/>
    <w:qFormat/>
    <w:tblPr>
      <w:tblCellMar>
        <w:top w:w="80" w:type="dxa"/>
        <w:left w:w="120" w:type="dxa"/>
        <w:bottom w:w="80" w:type="dxa"/>
        <w:right w:w="120"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XeelTech Solutions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FarsamoTech Repair Hub Platform Analysis</dc:title>
  <dc:creator>Codex</dc:creator>
  <cp:lastModifiedBy>Codex</cp:lastModifiedBy>
  <dcterms:created xsi:type="dcterms:W3CDTF">2026-06-18T00:00:00+00:00</dcterms:created>
  <dcterms:modified xsi:type="dcterms:W3CDTF">2026-06-18T00:00:00+00:00</dcterms:modified>
</cp:coreProperties>
</file>