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3.png" ContentType="image/png"/>
  <Override PartName="/word/media/rId19.png" ContentType="image/png"/>
  <Override PartName="/word/media/rId30.png" ContentType="image/png"/>
  <Override PartName="/word/media/rId27.png" ContentType="image/png"/>
  <Override PartName="/word/media/rId16.png" ContentType="image/png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Does Financial Instruction Tuning Actually Help?</w:t>
      </w:r>
    </w:p>
    <w:p>
      <w:pPr>
        <w:pStyle w:val="Subtitle"/>
      </w:pPr>
      <w:r>
        <w:t xml:space="preserve">An Implementation Report Reproducing Open-FinLLMs on Sentiment and NER</w:t>
      </w:r>
    </w:p>
    <w:p>
      <w:pPr>
        <w:pStyle w:val="Author"/>
      </w:pPr>
      <w:r>
        <w:t xml:space="preserve">LLMs in Finance Seminar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6" w:name="X2c681f4c832af20e971f9f5f5ef5247a030ae0d"/>
    <w:p>
      <w:pPr>
        <w:pStyle w:val="Heading1"/>
      </w:pPr>
      <w:r>
        <w:t xml:space="preserve">Does Financial Instruction Tuning Actually Help?</w:t>
      </w:r>
    </w:p>
    <w:bookmarkStart w:id="9" w:name="Xb1065821921c49658956102f838a6c16993b99d"/>
    <w:p>
      <w:pPr>
        <w:pStyle w:val="Heading3"/>
      </w:pPr>
      <w:r>
        <w:t xml:space="preserve">An Implementation Report Reproducing </w:t>
      </w:r>
      <w:r>
        <w:rPr>
          <w:i/>
          <w:iCs/>
        </w:rPr>
        <w:t xml:space="preserve">Open-FinLLMs</w:t>
      </w:r>
      <w:r>
        <w:t xml:space="preserve"> on Financial Sentiment and NER</w:t>
      </w:r>
    </w:p>
    <w:p>
      <w:pPr>
        <w:pStyle w:val="FirstParagraph"/>
      </w:pPr>
      <w:r>
        <w:rPr>
          <w:b/>
          <w:bCs/>
        </w:rPr>
        <w:t xml:space="preserve">LLMs in Finance Seminar — Implementation Track</w:t>
      </w:r>
      <w:r>
        <w:t xml:space="preserve"> Paper reproduced: </w:t>
      </w:r>
      <w:r>
        <w:rPr>
          <w:i/>
          <w:iCs/>
        </w:rPr>
        <w:t xml:space="preserve">Open-FinLLMs: Open Multimodal Large Language Models for Financial Applications</w:t>
      </w:r>
      <w:r>
        <w:t xml:space="preserve"> Task: inference-only reproduction · Compute: Modal T4 (4-bit) · Total spend: </w:t>
      </w:r>
      <w:r>
        <w:rPr>
          <w:b/>
          <w:bCs/>
        </w:rPr>
        <w:t xml:space="preserve">~$1.2</w:t>
      </w:r>
    </w:p>
    <w:p>
      <w:r>
        <w:pict>
          <v:rect style="width:0;height:1.5pt" o:hralign="center" o:hrstd="t" o:hr="t"/>
        </w:pict>
      </w:r>
    </w:p>
    <w:bookmarkEnd w:id="9"/>
    <w:bookmarkStart w:id="1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</w:t>
      </w:r>
      <w:r>
        <w:rPr>
          <w:i/>
          <w:iCs/>
        </w:rPr>
        <w:t xml:space="preserve">Open-FinLLMs</w:t>
      </w:r>
      <w:r>
        <w:t xml:space="preserve"> paper makes a single, testable promise: that </w:t>
      </w:r>
      <w:r>
        <w:rPr>
          <w:b/>
          <w:bCs/>
        </w:rPr>
        <w:t>financial instruction tuning</w:t>
      </w:r>
      <w:r>
        <w:t xml:space="preserve"> — continuing to train a general LLM on finance instructions — buys you measurably better performance on downstream financial NLP. We tried to reproduce that promise on the two tasks where it should be easiest to see: </w:t>
      </w:r>
      <w:r>
        <w:rPr>
          <w:b/>
          <w:bCs/>
        </w:rPr>
        <w:t xml:space="preserve">sentiment classification</w:t>
      </w:r>
      <w:r>
        <w:t xml:space="preserve"> (Financial PhraseBank, FiQA-SA) and </w:t>
      </w:r>
      <w:r>
        <w:rPr>
          <w:b/>
          <w:bCs/>
        </w:rPr>
        <w:t>named-entity recognition</w:t>
      </w:r>
      <w:r>
        <w:t xml:space="preserve"> (FiNER-ORD, FIN/Alvarado-2015).</w:t>
      </w:r>
    </w:p>
    <w:p>
      <w:pPr>
        <w:pStyle w:val="BodyText"/>
      </w:pPr>
      <w:r>
        <w:t xml:space="preserve">We could not get the paper’s headline model (</w:t>
      </w:r>
      <w:r>
        <w:rPr>
          <w:rStyle w:val="VerbatimChar"/>
        </w:rPr>
        <w:t xml:space="preserve">FinLLaMA-instruct</w:t>
      </w:r>
      <w:r>
        <w:t xml:space="preserve">) because the authors un-published it (a 404 — a finding in itself), so we substituted </w:t>
      </w:r>
      <w:r>
        <w:rPr>
          <w:b/>
          <w:bCs/>
        </w:rPr>
        <w:t xml:space="preserve">plutus-8B-instruct</w:t>
      </w:r>
      <w:r>
        <w:t>, the same group’s current 8B financial-instruct model, and benchmarked it against general 7–8B instruction models (Mistral-7B, Qwen2.5-7B), small in-domain classifiers (FinBERT, FinBERT-tone), a lexicon (VADER), and specialised NER models (GLiNER).</w:t>
      </w:r>
    </w:p>
    <w:p>
      <w:pPr>
        <w:pStyle w:val="BodyText"/>
      </w:pPr>
      <w:r>
        <w:rPr>
          <w:b/>
          <w:bCs/>
        </w:rPr>
        <w:t xml:space="preserve">Three findings, each reproduced from the committed predictions: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>Financial instruction tuning did not pull ahead — on any of the four datasets.</w:t>
      </w:r>
      <w:r>
        <w:t xml:space="preserve"> plutus-8B is mid-pack on sentiment (beaten by Mistral on FPB, by Qwen on FiQA) and is the </w:t>
      </w:r>
      <w:r>
        <w:rPr>
          <w:b/>
          <w:bCs/>
        </w:rPr>
        <w:t xml:space="preserve">single worst LLM on both NER datasets</w:t>
      </w:r>
      <w:r>
        <w:t>. The paper’s central claim does not replicate on this evaluation.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Prompt choice rivals model choice.</w:t>
      </w:r>
      <w:r>
        <w:t xml:space="preserve"> Swapping one prompt template for another moves macro-F1 by up to </w:t>
      </w:r>
      <w:r>
        <w:rPr>
          <w:b/>
          <w:bCs/>
        </w:rPr>
        <w:t xml:space="preserve">16 points</w:t>
      </w:r>
      <w:r>
        <w:t xml:space="preserve"> on the same model and dataset — larger than most model-to-model gaps. Any single-prompt LLM “leaderboard” is fragile.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cheap prompt-ensemble recovers most of that lost robustness.</w:t>
      </w:r>
      <w:r>
        <w:t xml:space="preserve"> Majority-vote over four prompt variants beats the </w:t>
      </w:r>
      <w:r>
        <w:rPr>
          <w:i/>
          <w:iCs/>
        </w:rPr>
        <w:t xml:space="preserve">mean</w:t>
      </w:r>
      <w:r>
        <w:t xml:space="preserve"> single prompt on </w:t>
      </w:r>
      <w:r>
        <w:rPr>
          <w:b/>
          <w:bCs/>
        </w:rPr>
        <w:t xml:space="preserve">6/6</w:t>
      </w:r>
      <w:r>
        <w:t xml:space="preserve"> model×dataset cells, and a cross-validation-weighted vote keeps ~100% answer coverage.</w:t>
      </w:r>
    </w:p>
    <w:p>
      <w:pPr>
        <w:pStyle w:val="FirstParagraph"/>
      </w:pPr>
      <w:r>
        <w:t xml:space="preserve">Honest scope: this is a </w:t>
      </w:r>
      <w:r>
        <w:rPr>
          <w:b/>
          <w:bCs/>
        </w:rPr>
        <w:t xml:space="preserve">toy-scale, inference-only</w:t>
      </w:r>
      <w:r>
        <w:t xml:space="preserve"> reproduction (300-sentence sentiment subsamples; 98–300-example NER sets; 4-bit quantization; no fine-tuning). The numbers are not meant to rank these models definitively — they are meant to test one claim, carefully, with baselines and an honest discussion of failure. A dedicated </w:t>
      </w:r>
      <w:r>
        <w:rPr>
          <w:b/>
          <w:bCs/>
        </w:rPr>
        <w:t xml:space="preserve">“What we got wrong”</w:t>
      </w:r>
      <w:r>
        <w:t xml:space="preserve"> section (§10) documents the missteps.</w:t>
      </w:r>
    </w:p>
    <w:p>
      <w:r>
        <w:pict>
          <v:rect style="width:0;height:1.5pt" o:hralign="center" o:hrstd="t" o:hr="t"/>
        </w:pict>
      </w:r>
    </w:p>
    <w:bookmarkEnd w:id="10"/>
    <w:bookmarkStart w:id="11" w:name="motivation-and-problem-setting"/>
    <w:p>
      <w:pPr>
        <w:pStyle w:val="Heading2"/>
      </w:pPr>
      <w:r>
        <w:t xml:space="preserve">1. Motivation and problem setting</w:t>
      </w:r>
    </w:p>
    <w:p>
      <w:pPr>
        <w:pStyle w:val="FirstParagraph"/>
      </w:pPr>
      <w:r>
        <w:t xml:space="preserve">Financial text — earnings releases, analyst notes, filings, headlines — is the raw material of a large part of quantitative finance. Two NLP primitives sit under most finance applications: </w:t>
      </w:r>
      <w:r>
        <w:rPr>
          <w:b/>
          <w:bCs/>
        </w:rPr>
        <w:t xml:space="preserve">sentiment</w:t>
      </w:r>
      <w:r>
        <w:t xml:space="preserve"> (is this text good or bad news for the name?) and </w:t>
      </w:r>
      <w:r>
        <w:rPr>
          <w:b/>
          <w:bCs/>
        </w:rPr>
        <w:t xml:space="preserve">entity recognition</w:t>
      </w:r>
      <w:r>
        <w:t xml:space="preserve"> (which companies, people, and places does it mention?). If general-purpose LLMs already do these well, the finance industry can use them off the shelf. If a </w:t>
      </w:r>
      <w:r>
        <w:rPr>
          <w:i/>
          <w:iCs/>
        </w:rPr>
        <w:t xml:space="preserve">financially tuned</w:t>
      </w:r>
      <w:r>
        <w:t xml:space="preserve"> LLM does them meaningfully better, that tuning is worth its cost. </w:t>
      </w:r>
      <w:r>
        <w:rPr>
          <w:i/>
          <w:iCs/>
        </w:rPr>
        <w:t xml:space="preserve">Open-FinLLMs</w:t>
      </w:r>
      <w:r>
        <w:t xml:space="preserve"> argues the latter. Because that claim drives real build-vs-buy decisions, it is worth reproducing rather than taking on faith — exactly the “validate on a held-out set; do not trust the model’s marketing” discipline.</w:t>
      </w:r>
    </w:p>
    <w:bookmarkEnd w:id="11"/>
    <w:bookmarkStart w:id="12" w:name="background-the-paper-condensed"/>
    <w:p>
      <w:pPr>
        <w:pStyle w:val="Heading2"/>
      </w:pPr>
      <w:r>
        <w:t xml:space="preserve">2. Background: the paper, condensed</w:t>
      </w:r>
    </w:p>
    <w:p>
      <w:pPr>
        <w:pStyle w:val="FirstParagraph"/>
      </w:pPr>
      <w:r>
        <w:rPr>
          <w:i/>
          <w:iCs/>
        </w:rPr>
        <w:t xml:space="preserve">Open-FinLLMs</w:t>
      </w:r>
      <w:r>
        <w:t xml:space="preserve"> introduces a family of open financial LLMs (FinLLaMA, and a multimodal FinLLaVA) built by continually pre-training and instruction-tuning LLaMA on a large financial corpus, then evaluates them across financial NLP benchmarks — sentiment, NER, classification, QA, and multimodal tasks — reporting that the financial models beat their general-purpose bases and rival much larger commercial models on several tasks.</w:t>
      </w:r>
    </w:p>
    <w:p>
      <w:pPr>
        <w:pStyle w:val="BodyText"/>
      </w:pPr>
      <w:r>
        <w:t>We reproduce the slice that is feasible on a single T4 GPU and that most directly tests the tuning claim: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Sentiment (3-class: positive / neutral / negative).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Financial PhraseBank (FPB)</w:t>
      </w:r>
      <w:r>
        <w:t xml:space="preserve"> — finance news sentences, each labelled by 5–8 finance-trained annotators. The dataset ships </w:t>
      </w:r>
      <w:r>
        <w:rPr>
          <w:b/>
          <w:bCs/>
        </w:rPr>
        <w:t>four nested inter-annotator-agreement subsets</w:t>
      </w:r>
      <w:r>
        <w:t xml:space="preserve">: </w:t>
      </w:r>
      <w:r>
        <w:rPr>
          <w:rStyle w:val="VerbatimChar"/>
        </w:rPr>
        <w:t xml:space="preserve">AllAgree</w:t>
      </w:r>
      <w:r>
        <w:t xml:space="preserve"> (100% / unanimous, 2,264 sentences), </w:t>
      </w:r>
      <w:r>
        <w:rPr>
          <w:rStyle w:val="VerbatimChar"/>
        </w:rPr>
        <w:t xml:space="preserve">75Agree</w:t>
      </w:r>
      <w:r>
        <w:t xml:space="preserve"> (≥75%, 3,453), </w:t>
      </w:r>
      <w:r>
        <w:rPr>
          <w:rStyle w:val="VerbatimChar"/>
        </w:rPr>
        <w:t xml:space="preserve">66Agree</w:t>
      </w:r>
      <w:r>
        <w:t xml:space="preserve"> (≥66%, 4,217), </w:t>
      </w:r>
      <w:r>
        <w:rPr>
          <w:rStyle w:val="VerbatimChar"/>
        </w:rPr>
        <w:t xml:space="preserve">50Agree</w:t>
      </w:r>
      <w:r>
        <w:t xml:space="preserve"> (≥50%, 4,846). We report on the </w:t>
      </w:r>
      <w:r>
        <w:rPr>
          <w:b/>
          <w:bCs/>
        </w:rPr>
        <w:t xml:space="preserve">75%-agreement split</w:t>
      </w:r>
      <w:r>
        <w:t xml:space="preserve"> (690 test sentences, 20% seed-42 hold-out) — the conventional FPB benchmark setting, balancing label quality against sample size — and additionally validate on the </w:t>
      </w:r>
      <w:r>
        <w:rPr>
          <w:b/>
          <w:bCs/>
        </w:rPr>
        <w:t xml:space="preserve">100%-agreement gold</w:t>
      </w:r>
      <w:r>
        <w:t xml:space="preserve"> in §6.4.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FiQA-SA</w:t>
      </w:r>
      <w:r>
        <w:t xml:space="preserve"> — microblog/news financial sentiment with a continuous score in [-1, 1], bucketed to 3 classes with a ±0.10 neutral band (1,173 test items).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NER (entity types PER / ORG / LOC).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FiNER-ORD</w:t>
      </w:r>
      <w:r>
        <w:t xml:space="preserve"> — financial NER over news (1,075 test sentences; we subsample).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FIN / Alvarado-2015</w:t>
      </w:r>
      <w:r>
        <w:t xml:space="preserve"> — the dataset behind the paper’s Table 7 NER column (the public PIXIU </w:t>
      </w:r>
      <w:r>
        <w:rPr>
          <w:rStyle w:val="VerbatimChar"/>
        </w:rPr>
        <w:t xml:space="preserve">flare-ner</w:t>
      </w:r>
      <w:r>
        <w:t xml:space="preserve"> subset is 98 examples).</w:t>
      </w:r>
    </w:p>
    <w:p>
      <w:pPr>
        <w:pStyle w:val="FirstParagraph"/>
      </w:pPr>
      <w:r>
        <w:rPr>
          <w:b/>
          <w:bCs/>
        </w:rPr>
        <w:t xml:space="preserve">Baselines that matter for the claim:</w:t>
      </w:r>
      <w:r>
        <w:t xml:space="preserve"> - </w:t>
      </w:r>
      <w:r>
        <w:rPr>
          <w:b/>
          <w:bCs/>
        </w:rPr>
        <w:t xml:space="preserve">FinBERT</w:t>
      </w:r>
      <w:r>
        <w:t xml:space="preserve"> (</w:t>
      </w:r>
      <w:r>
        <w:rPr>
          <w:rStyle w:val="VerbatimChar"/>
        </w:rPr>
        <w:t xml:space="preserve">ProsusAI/finbert</w:t>
      </w:r>
      <w:r>
        <w:t xml:space="preserve">) and </w:t>
      </w:r>
      <w:r>
        <w:rPr>
          <w:b/>
          <w:bCs/>
        </w:rPr>
        <w:t xml:space="preserve">FinBERT-tone</w:t>
      </w:r>
      <w:r>
        <w:t xml:space="preserve"> (</w:t>
      </w:r>
      <w:r>
        <w:rPr>
          <w:rStyle w:val="VerbatimChar"/>
        </w:rPr>
        <w:t xml:space="preserve">yiyanghkust/finbert-tone</w:t>
      </w:r>
      <w:r>
        <w:t xml:space="preserve">) — 110M finance-tuned classifiers; the conventional, cheap finance sentiment tools. - </w:t>
      </w:r>
      <w:r>
        <w:rPr>
          <w:b/>
          <w:bCs/>
        </w:rPr>
        <w:t xml:space="preserve">VADER</w:t>
      </w:r>
      <w:r>
        <w:t xml:space="preserve"> — a rule/lexicon sentiment model with no learning; the “is this better than a dictionary?” floor. - </w:t>
      </w:r>
      <w:r>
        <w:rPr>
          <w:b/>
          <w:bCs/>
        </w:rPr>
        <w:t xml:space="preserve">GLiNER</w:t>
      </w:r>
      <w:r>
        <w:t xml:space="preserve"> (small/large) — specialised zero-shot NER models.</w:t>
      </w:r>
    </w:p>
    <w:bookmarkEnd w:id="12"/>
    <w:bookmarkStart w:id="13" w:name="Xd8e463c01b6089abb4644baaf1c686f5c64c4f5"/>
    <w:p>
      <w:pPr>
        <w:pStyle w:val="Heading2"/>
      </w:pPr>
      <w:r>
        <w:t xml:space="preserve">3. Objective — exactly what we reproduced, adapted, and simplified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What we did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plutus-8B-instruct</w:t>
            </w:r>
            <w:r>
              <w:t xml:space="preserve"> substituted for </w:t>
            </w:r>
            <w:r>
              <w:rPr>
                <w:rStyle w:val="VerbatimChar"/>
              </w:rPr>
              <w:t xml:space="preserve">FinLLaMA-instruct</w:t>
            </w:r>
          </w:p>
        </w:tc>
        <w:tc>
          <w:tcPr/>
          <w:p>
            <w:pPr>
              <w:pStyle w:val="Compact"/>
            </w:pPr>
            <w:r>
              <w:t xml:space="preserve">FinLLaMA-instruct returns </w:t>
            </w:r>
            <w:r>
              <w:rPr>
                <w:b/>
                <w:bCs/>
              </w:rPr>
              <w:t xml:space="preserve">404</w:t>
            </w:r>
            <w:r>
              <w:t xml:space="preserve"> (un-published). plutus is the same group’s current 8B financial-instruct model. Comparison is </w:t>
            </w:r>
            <w:r>
              <w:rPr>
                <w:i/>
                <w:iCs/>
              </w:rPr>
              <w:t xml:space="preserve">indicative</w:t>
            </w:r>
            <w:r>
              <w:t xml:space="preserve">, not identical.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Inference only — </w:t>
            </w:r>
            <w:r>
              <w:rPr>
                <w:b/>
                <w:bCs/>
              </w:rPr>
              <w:t xml:space="preserve">no fine-tuning</w:t>
            </w:r>
          </w:p>
        </w:tc>
        <w:tc>
          <w:tcPr/>
          <w:p>
            <w:pPr>
              <w:pStyle w:val="Compact"/>
            </w:pPr>
            <w:r>
              <w:t xml:space="preserve">Tests the </w:t>
            </w:r>
            <w:r>
              <w:rPr>
                <w:i/>
                <w:iCs/>
              </w:rPr>
              <w:t xml:space="preserve">released</w:t>
            </w:r>
            <w:r>
              <w:t xml:space="preserve"> tuning, on a T4 budget.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Sentiment scale</w:t>
            </w:r>
          </w:p>
        </w:tc>
        <w:tc>
          <w:tcPr/>
          <w:p>
            <w:pPr>
              <w:pStyle w:val="Compact"/>
            </w:pPr>
            <w:r>
              <w:t xml:space="preserve">300-sentence balanced subsample per LLM run; full test set for the cheap baselines</w:t>
            </w:r>
          </w:p>
        </w:tc>
        <w:tc>
          <w:tcPr/>
          <w:p>
            <w:pPr>
              <w:pStyle w:val="Compact"/>
            </w:pPr>
            <w:r>
              <w:t xml:space="preserve">Keeps 24 LLM runs inside a &lt; $1 GPU budget; baselines are free so they run on everything.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NER scale</w:t>
            </w:r>
          </w:p>
        </w:tc>
        <w:tc>
          <w:tcPr/>
          <w:p>
            <w:pPr>
              <w:pStyle w:val="Compact"/>
            </w:pPr>
            <w:r>
              <w:t xml:space="preserve">FiNER-ORD 300-sentence subsample; FIN = the full public 98-example set</w:t>
            </w:r>
          </w:p>
        </w:tc>
        <w:tc>
          <w:tcPr/>
          <w:p>
            <w:pPr>
              <w:pStyle w:val="Compact"/>
            </w:pPr>
            <w:r>
              <w:t xml:space="preserve">Same budget logic; FIN is small because only the PIXIU subset is public.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4-bit (bitsandbytes) for every 7–8B model</w:t>
            </w:r>
          </w:p>
        </w:tc>
        <w:tc>
          <w:tcPr/>
          <w:p>
            <w:pPr>
              <w:pStyle w:val="Compact"/>
            </w:pPr>
            <w:r>
              <w:t xml:space="preserve">Two 8B models will not coexist on a 16 GB T4 otherwise.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Prompts</w:t>
            </w:r>
          </w:p>
        </w:tc>
        <w:tc>
          <w:tcPr/>
          <w:p>
            <w:pPr>
              <w:pStyle w:val="Compact"/>
            </w:pPr>
            <w:r>
              <w:t xml:space="preserve">Templates A (minimal), B (analyst definition list), C (market-reaction) × {0, 3}-shot</w:t>
            </w:r>
          </w:p>
        </w:tc>
        <w:tc>
          <w:tcPr/>
          <w:p>
            <w:pPr>
              <w:pStyle w:val="Compact"/>
            </w:pPr>
            <w:r>
              <w:t xml:space="preserve">To </w:t>
            </w:r>
            <w:r>
              <w:rPr>
                <w:i/>
                <w:iCs/>
              </w:rPr>
              <w:t xml:space="preserve">measure</w:t>
            </w:r>
            <w:r>
              <w:t xml:space="preserve"> prompt sensitivity rather than assume a single prompt is representative.</w:t>
            </w:r>
          </w:p>
        </w:tc>
      </w:tr>
    </w:tbl>
    <w:p>
      <w:pPr>
        <w:pStyle w:val="BodyText"/>
      </w:pPr>
      <w:r>
        <w:t xml:space="preserve">Models we </w:t>
      </w:r>
      <w:r>
        <w:rPr>
          <w:b/>
          <w:bCs/>
        </w:rPr>
        <w:t xml:space="preserve">could not</w:t>
      </w:r>
      <w:r>
        <w:t xml:space="preserve"> evaluate (documented, not silently dropped): </w:t>
      </w:r>
      <w:r>
        <w:rPr>
          <w:rStyle w:val="VerbatimChar"/>
        </w:rPr>
        <w:t xml:space="preserve">FinLLaMA-instruct</w:t>
      </w:r>
      <w:r>
        <w:t xml:space="preserve"> (404), </w:t>
      </w:r>
      <w:r>
        <w:rPr>
          <w:rStyle w:val="VerbatimChar"/>
        </w:rPr>
        <w:t xml:space="preserve">LLaMA-3.1-8B-Instruct</w:t>
      </w:r>
      <w:r>
        <w:t xml:space="preserve"> (gated, no access), </w:t>
      </w:r>
      <w:r>
        <w:rPr>
          <w:rStyle w:val="VerbatimChar"/>
        </w:rPr>
        <w:t xml:space="preserve">FinMA-7B-full</w:t>
      </w:r>
      <w:r>
        <w:t xml:space="preserve"> (gated, 403), </w:t>
      </w:r>
      <w:r>
        <w:rPr>
          <w:rStyle w:val="VerbatimChar"/>
        </w:rPr>
        <w:t xml:space="preserve">Qwen3-8B</w:t>
      </w:r>
      <w:r>
        <w:t xml:space="preserve"> initially (needed a newer </w:t>
      </w:r>
      <w:r>
        <w:rPr>
          <w:rStyle w:val="VerbatimChar"/>
        </w:rPr>
        <w:t xml:space="preserve">transformers</w:t>
      </w:r>
      <w:r>
        <w:t>; later run on the NER track).</w:t>
      </w:r>
    </w:p>
    <w:bookmarkEnd w:id="13"/>
    <w:bookmarkStart w:id="14" w:name="system-design"/>
    <w:p>
      <w:pPr>
        <w:pStyle w:val="Heading2"/>
      </w:pPr>
      <w:r>
        <w:t xml:space="preserve">4. System design</w:t>
      </w:r>
    </w:p>
    <w:p>
      <w:pPr>
        <w:pStyle w:val="FirstParagraph"/>
      </w:pPr>
      <w:r>
        <w:t xml:space="preserve">The pipeline is a small, testable library (</w:t>
      </w:r>
      <w:r>
        <w:rPr>
          <w:rStyle w:val="VerbatimChar"/>
        </w:rPr>
        <w:t xml:space="preserve">src/</w:t>
      </w:r>
      <w:r>
        <w:t>) driven by scripts; the same shape is reused for both tasks.</w:t>
      </w:r>
    </w:p>
    <w:p>
      <w:pPr>
        <w:pStyle w:val="SourceCode"/>
      </w:pPr>
      <w:r>
        <w:rPr>
          <w:rStyle w:val="VerbatimChar"/>
        </w:rPr>
        <w:t xml:space="preserve">                         data_loader            prompts            runner               parser            evaluation</w:t>
      </w:r>
      <w:r>
        <w:br/>
      </w:r>
      <w:r>
        <w:rPr>
          <w:rStyle w:val="VerbatimChar"/>
        </w:rPr>
        <w:t xml:space="preserve"> HF datasets  ──▶  unified Sample dicts  ──▶  build_prompt  ──▶  LLMRunner (Modal T4) ──▶  parse(raw)  ──▶  compute_metrics</w:t>
      </w:r>
      <w:r>
        <w:br/>
      </w:r>
      <w:r>
        <w:rPr>
          <w:rStyle w:val="VerbatimChar"/>
        </w:rPr>
        <w:t xml:space="preserve">   FPB / FiQA      {id,text,label,...}        (LLMs only)        FinBERTRunner/VADER       (LLMs only)      acc / F1 / coverage</w:t>
      </w:r>
      <w:r>
        <w:br/>
      </w:r>
      <w:r>
        <w:rPr>
          <w:rStyle w:val="VerbatimChar"/>
        </w:rPr>
        <w:t xml:space="preserve">   FiNER / FIN                                                   GLiNER (local)                             confusion matrix</w:t>
      </w:r>
    </w:p>
    <w:p>
      <w:pPr>
        <w:pStyle w:val="FirstParagraph"/>
      </w:pPr>
      <w:r>
        <w:rPr>
          <w:b/>
          <w:bCs/>
        </w:rPr>
        <w:t xml:space="preserve">Key design invariants:</w:t>
      </w:r>
      <w:r>
        <w:t xml:space="preserve"> - </w:t>
      </w:r>
      <w:r>
        <w:rPr>
          <w:b/>
          <w:bCs/>
        </w:rPr>
        <w:t xml:space="preserve">One unified </w:t>
      </w:r>
      <w:r>
        <w:rPr>
          <w:rStyle w:val="VerbatimChar"/>
          <w:b/>
          <w:bCs/>
        </w:rPr>
        <w:t xml:space="preserve">Sample</w:t>
      </w:r>
      <w:r>
        <w:rPr>
          <w:b/>
          <w:bCs/>
        </w:rPr>
        <w:t xml:space="preserve"> schema</w:t>
      </w:r>
      <w:r>
        <w:t xml:space="preserve"> for every dataset: </w:t>
      </w:r>
      <w:r>
        <w:rPr>
          <w:rStyle w:val="VerbatimChar"/>
        </w:rPr>
        <w:t xml:space="preserve">{id, text, label, dataset,   split}</w:t>
      </w:r>
      <w:r>
        <w:t xml:space="preserve">, labels in </w:t>
      </w:r>
      <w:r>
        <w:rPr>
          <w:rStyle w:val="VerbatimChar"/>
        </w:rPr>
        <w:t xml:space="preserve">{positive, neutral, negative}</w:t>
      </w:r>
      <w:r>
        <w:t xml:space="preserve">. FiQA’s continuous score is bucketed via the neutral band. - </w:t>
      </w:r>
      <w:r>
        <w:rPr>
          <w:b/>
          <w:bCs/>
        </w:rPr>
        <w:t xml:space="preserve">Runner split.</w:t>
      </w:r>
      <w:r>
        <w:t xml:space="preserve"> </w:t>
      </w:r>
      <w:r>
        <w:rPr>
          <w:rStyle w:val="VerbatimChar"/>
        </w:rPr>
        <w:t xml:space="preserve">LLMRunner.generate()</w:t>
      </w:r>
      <w:r>
        <w:t xml:space="preserve"> returns </w:t>
      </w:r>
      <w:r>
        <w:rPr>
          <w:i/>
          <w:iCs/>
        </w:rPr>
        <w:t xml:space="preserve">raw text</w:t>
      </w:r>
      <w:r>
        <w:t xml:space="preserve"> + latency; parsing happens outside it. </w:t>
      </w:r>
      <w:r>
        <w:rPr>
          <w:rStyle w:val="VerbatimChar"/>
        </w:rPr>
        <w:t xml:space="preserve">FinBERTRunner</w:t>
      </w:r>
      <w:r>
        <w:t xml:space="preserve">/</w:t>
      </w:r>
      <w:r>
        <w:rPr>
          <w:rStyle w:val="VerbatimChar"/>
        </w:rPr>
        <w:t xml:space="preserve">VADERRunner</w:t>
      </w:r>
      <w:r>
        <w:t xml:space="preserve">/GLiNER return canonical labels directly (no parser needed, so they are always 100% coverage). - </w:t>
      </w:r>
      <w:r>
        <w:rPr>
          <w:b/>
          <w:bCs/>
        </w:rPr>
        <w:t xml:space="preserve">Three deliberately diverse prompts</w:t>
      </w:r>
      <w:r>
        <w:t xml:space="preserve"> so the ensemble members disagree in useful ways: </w:t>
      </w:r>
      <w:r>
        <w:rPr>
          <w:b/>
          <w:bCs/>
        </w:rPr>
        <w:t xml:space="preserve">A</w:t>
      </w:r>
      <w:r>
        <w:t xml:space="preserve"> = “Classify the sentiment … positive/negative/neutral”; </w:t>
      </w:r>
      <w:r>
        <w:rPr>
          <w:b/>
          <w:bCs/>
        </w:rPr>
        <w:t xml:space="preserve">B</w:t>
      </w:r>
      <w:r>
        <w:t xml:space="preserve"> = “You are a financial analyst …” with an explicit definition list; </w:t>
      </w:r>
      <w:r>
        <w:rPr>
          <w:b/>
          <w:bCs/>
        </w:rPr>
        <w:t xml:space="preserve">C</w:t>
      </w:r>
      <w:r>
        <w:t xml:space="preserve"> = a market-reaction framing (“how would this move an investor’s outlook — bullish / bearish / neutral”). - </w:t>
      </w:r>
      <w:r>
        <w:rPr>
          <w:b/>
          <w:bCs/>
        </w:rPr>
        <w:t xml:space="preserve">Software stack.</w:t>
      </w:r>
      <w:r>
        <w:t xml:space="preserve"> </w:t>
      </w:r>
      <w:r>
        <w:rPr>
          <w:rStyle w:val="VerbatimChar"/>
        </w:rPr>
        <w:t xml:space="preserve">transformers</w:t>
      </w:r>
      <w:r>
        <w:t xml:space="preserve"> + </w:t>
      </w:r>
      <w:r>
        <w:rPr>
          <w:rStyle w:val="VerbatimChar"/>
        </w:rPr>
        <w:t xml:space="preserve">bitsandbytes</w:t>
      </w:r>
      <w:r>
        <w:t xml:space="preserve"> (4-bit) on a </w:t>
      </w:r>
      <w:r>
        <w:rPr>
          <w:b/>
          <w:bCs/>
        </w:rPr>
        <w:t xml:space="preserve">Modal</w:t>
      </w:r>
      <w:r>
        <w:t xml:space="preserve"> T4 container with a hard </w:t>
      </w:r>
      <w:r>
        <w:rPr>
          <w:b/>
          <w:bCs/>
        </w:rPr>
        <w:t xml:space="preserve">$7 budget guard</w:t>
      </w:r>
      <w:r>
        <w:t xml:space="preserve"> and a per-run cost ledger; HF weights cached in a Modal volume. Checkpoint/resume via per-run </w:t>
      </w:r>
      <w:r>
        <w:rPr>
          <w:rStyle w:val="VerbatimChar"/>
        </w:rPr>
        <w:t xml:space="preserve">meta.json</w:t>
      </w:r>
      <w:r>
        <w:t xml:space="preserve"> / </w:t>
      </w:r>
      <w:r>
        <w:rPr>
          <w:rStyle w:val="VerbatimChar"/>
        </w:rPr>
        <w:t xml:space="preserve">predictions.jsonl</w:t>
      </w:r>
      <w:r>
        <w:t xml:space="preserve"> / </w:t>
      </w:r>
      <w:r>
        <w:rPr>
          <w:rStyle w:val="VerbatimChar"/>
        </w:rPr>
        <w:t xml:space="preserve">progress.json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Major simplifications:</w:t>
      </w:r>
      <w:r>
        <w:t xml:space="preserve"> 4-bit (not fp16); subsampled test sets for LLMs; zero-/few-shot only (no fine-tuning); a single prompt template × 0-shot for NER.</w:t>
      </w:r>
    </w:p>
    <w:bookmarkEnd w:id="14"/>
    <w:bookmarkStart w:id="15" w:name="experimental-design"/>
    <w:p>
      <w:pPr>
        <w:pStyle w:val="Heading2"/>
      </w:pPr>
      <w:r>
        <w:t xml:space="preserve">5. Experimental design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Metrics.</w:t>
      </w:r>
      <w:r>
        <w:t xml:space="preserve"> Accuracy, </w:t>
      </w:r>
      <w:r>
        <w:rPr>
          <w:b/>
          <w:bCs/>
        </w:rPr>
        <w:t xml:space="preserve">macro-F1</w:t>
      </w:r>
      <w:r>
        <w:t xml:space="preserve"> (the headline — it does not let a dominant class hide errors), weighted-F1, per-class P/R/F1, and a 3×3 confusion matrix. For NER: entity-level strict micro/macro-F1 and per-type F1 (PER/LOC/ORG); FIN also reports a “partial” match.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Coverage, and why we never force a label.</w:t>
      </w:r>
      <w:r>
        <w:t xml:space="preserve"> When an LLM’s output cannot be parsed to a label, the prediction is recorded as </w:t>
      </w:r>
      <w:r>
        <w:rPr>
          <w:rStyle w:val="VerbatimChar"/>
        </w:rPr>
        <w:t xml:space="preserve">parse_ok=False</w:t>
      </w:r>
      <w:r>
        <w:t xml:space="preserve"> and </w:t>
      </w:r>
      <w:r>
        <w:rPr>
          <w:b/>
          <w:bCs/>
        </w:rPr>
        <w:t>excluded from accuracy/F1</w:t>
      </w:r>
      <w:r>
        <w:t xml:space="preserve">, then reported separately as </w:t>
      </w:r>
      <w:r>
        <w:rPr>
          <w:b/>
          <w:bCs/>
        </w:rPr>
        <w:t xml:space="preserve">coverage</w:t>
      </w:r>
      <w:r>
        <w:t>. Forcing unparseable outputs to “neutral” would silently inflate a model that hedges — so we refuse to. This makes coverage a first-class result (a model can win on F1 but lose on coverage, or vice-versa).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Determinism.</w:t>
      </w:r>
      <w:r>
        <w:t xml:space="preserve"> </w:t>
      </w:r>
      <w:r>
        <w:rPr>
          <w:rStyle w:val="VerbatimChar"/>
        </w:rPr>
        <w:t xml:space="preserve">seed = 42</w:t>
      </w:r>
      <w:r>
        <w:t xml:space="preserve"> everywhere; greedy decoding (</w:t>
      </w:r>
      <w:r>
        <w:rPr>
          <w:rStyle w:val="VerbatimChar"/>
        </w:rPr>
        <w:t xml:space="preserve">temperature = 0</w:t>
      </w:r>
      <w:r>
        <w:t>); balanced few-shot sampling from the FPB train pool.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Uncertainty.</w:t>
      </w:r>
      <w:r>
        <w:t xml:space="preserve"> Headline macro-F1s carry </w:t>
      </w:r>
      <w:r>
        <w:rPr>
          <w:b/>
          <w:bCs/>
        </w:rPr>
        <w:t xml:space="preserve">95% bootstrap confidence intervals</w:t>
      </w:r>
      <w:r>
        <w:t xml:space="preserve"> (2,000 resamples of the per-example predictions; </w:t>
      </w:r>
      <w:r>
        <w:rPr>
          <w:rStyle w:val="VerbatimChar"/>
        </w:rPr>
        <w:t xml:space="preserve">bootstrap_ci.py</w:t>
      </w:r>
      <w:r>
        <w:t>), so the reader can see which gaps are real and which are subsample noise.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Baselines.</w:t>
      </w:r>
      <w:r>
        <w:t xml:space="preserve"> Every sentiment claim is measured against FinBERT, FinBERT-tone, and VADER (on the full test set; we also re-scored them on the identical 300-sentence LLM subsets as a parity check — </w:t>
      </w:r>
      <w:r>
        <w:rPr>
          <w:i/>
          <w:iCs/>
        </w:rPr>
        <w:t xml:space="preserve">same</w:t>
      </w:r>
      <w:r>
        <w:t xml:space="preserve"> ranking, gaps ≤ 0.02 F1); every NER claim against GLiNER-small/large.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Leakage and contamination — the honest caveats.</w:t>
      </w:r>
      <w:r>
        <w:t xml:space="preserve"> (i) These benchmarks are old and public; any of these models may have seen FPB/FiQA/FIN during pre-training, which would </w:t>
      </w:r>
      <w:r>
        <w:rPr>
          <w:i/>
          <w:iCs/>
        </w:rPr>
        <w:t xml:space="preserve">inflate</w:t>
      </w:r>
      <w:r>
        <w:t xml:space="preserve"> all of them — we cannot rule it out. (ii) For NER we use </w:t>
      </w:r>
      <w:r>
        <w:rPr>
          <w:b/>
          <w:bCs/>
        </w:rPr>
        <w:t xml:space="preserve">strict</w:t>
      </w:r>
      <w:r>
        <w:t xml:space="preserve"> span matching, which is harsh (see §8). (iii) plutus is a </w:t>
      </w:r>
      <w:r>
        <w:rPr>
          <w:i/>
          <w:iCs/>
        </w:rPr>
        <w:t xml:space="preserve">substitute</w:t>
      </w:r>
      <w:r>
        <w:t xml:space="preserve"> for the paper’s model, so the gap to the paper’s numbers mixes a real effect with a model-identity difference. (iv) FinBERT was fine-tuned on Financial PhraseBank, so its FPB scores here — and its 100%-agreement scores in §6.4 — are effectively in-sample, not held-out; we treat FinBERT’s FPB number as an upper bound rather than a peer comparison, which if anything strengthens the thesis, since a general LLM (Mistral) nearly matches a model trained on the test set while the financial-tuned plutus does not.</w:t>
      </w:r>
    </w:p>
    <w:bookmarkEnd w:id="15"/>
    <w:bookmarkStart w:id="38" w:name="results-sentiment"/>
    <w:p>
      <w:pPr>
        <w:pStyle w:val="Heading2"/>
      </w:pPr>
      <w:r>
        <w:t xml:space="preserve">6. Results — sentiment</w:t>
      </w:r>
    </w:p>
    <w:p>
      <w:pPr>
        <w:pStyle w:val="FirstParagraph"/>
      </w:pPr>
      <w:r>
        <w:rPr>
          <w:b/>
          <w:bCs/>
        </w:rPr>
        <w:t xml:space="preserve">Headline (best macro-F1 per model × dataset):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FPB F1ₘ</w:t>
            </w:r>
          </w:p>
        </w:tc>
        <w:tc>
          <w:tcPr/>
          <w:p>
            <w:pPr>
              <w:pStyle w:val="Compact"/>
            </w:pPr>
            <w:r>
              <w:t xml:space="preserve">FPB Acc</w:t>
            </w:r>
          </w:p>
        </w:tc>
        <w:tc>
          <w:tcPr/>
          <w:p>
            <w:pPr>
              <w:pStyle w:val="Compact"/>
            </w:pPr>
            <w:r>
              <w:t xml:space="preserve">FiQA F1ₘ</w:t>
            </w:r>
          </w:p>
        </w:tc>
        <w:tc>
          <w:tcPr/>
          <w:p>
            <w:pPr>
              <w:pStyle w:val="Compact"/>
            </w:pPr>
            <w:r>
              <w:t xml:space="preserve">FiQA Acc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FinBERT</w:t>
            </w:r>
            <w:r>
              <w:t xml:space="preserve"> (110M, in-domain)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0.925</w:t>
            </w:r>
          </w:p>
        </w:tc>
        <w:tc>
          <w:tcPr/>
          <w:p>
            <w:pPr>
              <w:pStyle w:val="Compact"/>
            </w:pPr>
            <w:r>
              <w:t xml:space="preserve">0.935</w:t>
            </w:r>
          </w:p>
        </w:tc>
        <w:tc>
          <w:tcPr/>
          <w:p>
            <w:pPr>
              <w:pStyle w:val="Compact"/>
            </w:pPr>
            <w:r>
              <w:t xml:space="preserve">0.482</w:t>
            </w:r>
          </w:p>
        </w:tc>
        <w:tc>
          <w:tcPr/>
          <w:p>
            <w:pPr>
              <w:pStyle w:val="Compact"/>
            </w:pPr>
            <w:r>
              <w:t xml:space="preserve">0.498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FinBERT-tone (110M)</w:t>
            </w:r>
          </w:p>
        </w:tc>
        <w:tc>
          <w:tcPr/>
          <w:p>
            <w:pPr>
              <w:pStyle w:val="Compact"/>
            </w:pPr>
            <w:r>
              <w:t xml:space="preserve">0.855</w:t>
            </w:r>
          </w:p>
        </w:tc>
        <w:tc>
          <w:tcPr/>
          <w:p>
            <w:pPr>
              <w:pStyle w:val="Compact"/>
            </w:pPr>
            <w:r>
              <w:t xml:space="preserve">0.881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0.389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Mistral-7B-Instruct-v0.3</w:t>
            </w:r>
            <w:r>
              <w:t xml:space="preserve"> (general)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0.890</w:t>
            </w:r>
          </w:p>
        </w:tc>
        <w:tc>
          <w:tcPr/>
          <w:p>
            <w:pPr>
              <w:pStyle w:val="Compact"/>
            </w:pPr>
            <w:r>
              <w:t xml:space="preserve">0.903</w:t>
            </w:r>
          </w:p>
        </w:tc>
        <w:tc>
          <w:tcPr/>
          <w:p>
            <w:pPr>
              <w:pStyle w:val="Compact"/>
            </w:pPr>
            <w:r>
              <w:t xml:space="preserve">0.599</w:t>
            </w:r>
          </w:p>
        </w:tc>
        <w:tc>
          <w:tcPr/>
          <w:p>
            <w:pPr>
              <w:pStyle w:val="Compact"/>
            </w:pPr>
            <w:r>
              <w:t xml:space="preserve">0.620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Qwen2.5-7B-Instruct</w:t>
            </w:r>
            <w:r>
              <w:t xml:space="preserve"> (general)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t xml:space="preserve">0.860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0.717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(financial)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t xml:space="preserve">0.851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0.657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VADER (lexicon)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0.554</w:t>
            </w:r>
          </w:p>
        </w:tc>
        <w:tc>
          <w:tcPr/>
          <w:p>
            <w:pPr>
              <w:pStyle w:val="Compact"/>
            </w:pPr>
            <w:r>
              <w:t xml:space="preserve">0.386</w:t>
            </w:r>
          </w:p>
        </w:tc>
        <w:tc>
          <w:tcPr/>
          <w:p>
            <w:pPr>
              <w:pStyle w:val="Compact"/>
            </w:pPr>
            <w:r>
              <w:t xml:space="preserve">0.423</w:t>
            </w:r>
          </w:p>
        </w:tc>
      </w:tr>
    </w:tbl>
    <w:p>
      <w:pPr>
        <w:pStyle w:val="CaptionedFigure"/>
      </w:pPr>
      <w:r>
        <w:drawing>
          <wp:inline>
            <wp:extent cx="5334000" cy="2963333"/>
            <wp:effectExtent b="0" l="0" r="0" t="0"/>
            <wp:docPr descr="Best macro-F1 by model and dataset" title="" id="17" name="Picture"/>
            <a:graphic>
              <a:graphicData uri="http://schemas.openxmlformats.org/drawingml/2006/picture">
                <pic:pic>
                  <pic:nvPicPr>
                    <pic:cNvPr descr="figures/f1_comparison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Best macro-F1 by model and dataset</w:t>
      </w:r>
    </w:p>
    <w:p>
      <w:pPr>
        <w:pStyle w:val="BlockText"/>
      </w:pPr>
      <w:r>
        <w:rPr>
          <w:b/>
          <w:bCs/>
        </w:rPr>
        <w:t xml:space="preserve">Significance.</w:t>
      </w:r>
      <w:r>
        <w:t xml:space="preserve"> 95% bootstrap CIs (2,000 resamples; </w:t>
      </w:r>
      <w:r>
        <w:rPr>
          <w:rStyle w:val="VerbatimChar"/>
        </w:rPr>
        <w:t xml:space="preserve">bootstrap_ci.py</w:t>
      </w:r>
      <w:r>
        <w:t xml:space="preserve">) are </w:t>
      </w:r>
      <w:r>
        <w:rPr>
          <w:b/>
          <w:bCs/>
        </w:rPr>
        <w:t xml:space="preserve">≈±0.04–0.05</w:t>
      </w:r>
      <w:r>
        <w:t xml:space="preserve"> for the 300-sentence LLM runs and </w:t>
      </w:r>
      <w:r>
        <w:rPr>
          <w:b/>
          <w:bCs/>
        </w:rPr>
        <w:t xml:space="preserve">±0.02–0.03</w:t>
      </w:r>
      <w:r>
        <w:t xml:space="preserve"> for the full-test baselines. Differences smaller than that are </w:t>
      </w:r>
      <w:r>
        <w:rPr>
          <w:i/>
          <w:iCs/>
        </w:rPr>
        <w:t xml:space="preserve">not</w:t>
      </w:r>
      <w:r>
        <w:t xml:space="preserve"> significant — so on FPB plutus≈Qwen (CIs [0.776, 0.873] vs [0.784, 0.878]) are statistically tied, and FinBERT’s FPB lead over Mistral is within noise. Bold marks the highest point estimate, not a proven winner. Full CIs in </w:t>
      </w:r>
      <w:r>
        <w:rPr>
          <w:rStyle w:val="VerbatimChar"/>
        </w:rPr>
        <w:t xml:space="preserve">results/summary/bootstrap_ci.csv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Interpretation.</w:t>
      </w:r>
      <w:r>
        <w:t xml:space="preserve"> The financial-tuned model is </w:t>
      </w:r>
      <w:r>
        <w:rPr>
          <w:i/>
          <w:iCs/>
        </w:rPr>
        <w:t xml:space="preserve">never the best LLM</w:t>
      </w:r>
      <w:r>
        <w:t>. On FPB the order is FinBERT ≳ Mistral &gt; FinBERT-tone &gt; plutus ≈ Qwen; on FiQA it is Qwen &gt; Mistral ≈ plutus &gt; FinBERT. Two things follow: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Financial tuning didn’t pull ahead.</w:t>
      </w:r>
      <w:r>
        <w:t xml:space="preserve"> plutus-8B is solid but mid-pack. If the tuning added a robust downstream advantage, plutus should top at least one dataset. It tops neither.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 in-domain models don’t generalise.</w:t>
      </w:r>
      <w:r>
        <w:t xml:space="preserve"> FinBERT tops FPB (0.925; though within noise of Mistral, and on data it was trained on — see §5-iv) but </w:t>
      </w:r>
      <w:r>
        <w:rPr>
          <w:b/>
          <w:bCs/>
        </w:rPr>
        <w:t xml:space="preserve">collapses on FiQA (0.482)</w:t>
      </w:r>
      <w:r>
        <w:t xml:space="preserve"> — a 44-point drop, far outside any CI, on a different financial register (microblog/news). The cheap specialist is the best tool </w:t>
      </w:r>
      <w:r>
        <w:rPr>
          <w:i/>
          <w:iCs/>
        </w:rPr>
        <w:t xml:space="preserve">only</w:t>
      </w:r>
      <w:r>
        <w:t xml:space="preserve"> on the distribution it was trained for. This is a genuinely useful production lesson.</w:t>
      </w:r>
    </w:p>
    <w:bookmarkStart w:id="22" w:name="prompt-sensitivity-rivals-model-choice"/>
    <w:p>
      <w:pPr>
        <w:pStyle w:val="Heading3"/>
      </w:pPr>
      <w:r>
        <w:t xml:space="preserve">6.1 Prompt sensitivity rivals model choice</w:t>
      </w:r>
    </w:p>
    <w:p>
      <w:pPr>
        <w:pStyle w:val="FirstParagraph"/>
      </w:pPr>
      <w:r>
        <w:t xml:space="preserve">The same model, same dataset, same 0-shot setting, only the </w:t>
      </w:r>
      <w:r>
        <w:rPr>
          <w:b/>
          <w:bCs/>
        </w:rPr>
        <w:t xml:space="preserve">prompt</w:t>
      </w:r>
      <w:r>
        <w:t xml:space="preserve"> changed: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· dataset</w:t>
            </w:r>
          </w:p>
        </w:tc>
        <w:tc>
          <w:tcPr/>
          <w:p>
            <w:pPr>
              <w:pStyle w:val="Compact"/>
            </w:pPr>
            <w:r>
              <w:t xml:space="preserve">Template A (F1ₘ)</w:t>
            </w:r>
          </w:p>
        </w:tc>
        <w:tc>
          <w:tcPr/>
          <w:p>
            <w:pPr>
              <w:pStyle w:val="Compact"/>
            </w:pPr>
            <w:r>
              <w:t xml:space="preserve">Template B (F1ₘ)</w:t>
            </w:r>
          </w:p>
        </w:tc>
        <w:tc>
          <w:tcPr/>
          <w:p>
            <w:pPr>
              <w:pStyle w:val="Compac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 · FPB</w:t>
            </w:r>
          </w:p>
        </w:tc>
        <w:tc>
          <w:tcPr/>
          <w:p>
            <w:pPr>
              <w:pStyle w:val="Compact"/>
            </w:pPr>
            <w:r>
              <w:t xml:space="preserve">0.803</w:t>
            </w:r>
          </w:p>
        </w:tc>
        <w:tc>
          <w:tcPr/>
          <w:p>
            <w:pPr>
              <w:pStyle w:val="Compact"/>
            </w:pPr>
            <w:r>
              <w:t xml:space="preserve">0.689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11.4 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plutus-8B · FiQA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0.432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16.4 pt</w:t>
            </w:r>
            <w:r>
              <w:t xml:space="preserve"> (26 pt accuracy)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 · FiQA</w:t>
            </w:r>
          </w:p>
        </w:tc>
        <w:tc>
          <w:tcPr/>
          <w:p>
            <w:pPr>
              <w:pStyle w:val="Compact"/>
            </w:pPr>
            <w:r>
              <w:t xml:space="preserve">0.579</w:t>
            </w:r>
          </w:p>
        </w:tc>
        <w:tc>
          <w:tcPr/>
          <w:p>
            <w:pPr>
              <w:pStyle w:val="Compact"/>
            </w:pPr>
            <w:r>
              <w:t xml:space="preserve">0.673</w:t>
            </w:r>
          </w:p>
        </w:tc>
        <w:tc>
          <w:tcPr/>
          <w:p>
            <w:pPr>
              <w:pStyle w:val="Compact"/>
            </w:pPr>
            <w:r>
              <w:t xml:space="preserve">9.4 pt (B wins)</w:t>
            </w:r>
          </w:p>
        </w:tc>
      </w:tr>
    </w:tbl>
    <w:p>
      <w:pPr>
        <w:pStyle w:val="CaptionedFigure"/>
      </w:pPr>
      <w:r>
        <w:drawing>
          <wp:inline>
            <wp:extent cx="5334000" cy="2667000"/>
            <wp:effectExtent b="0" l="0" r="0" t="0"/>
            <wp:docPr descr="Coverage and prompt behaviour across templates and shots" title="" id="20" name="Picture"/>
            <a:graphic>
              <a:graphicData uri="http://schemas.openxmlformats.org/drawingml/2006/picture">
                <pic:pic>
                  <pic:nvPicPr>
                    <pic:cNvPr descr="figures/coverage_heatmap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 and prompt behaviour across templates and shots</w:t>
      </w:r>
    </w:p>
    <w:p>
      <w:pPr>
        <w:pStyle w:val="BodyText"/>
      </w:pPr>
      <w:r>
        <w:t xml:space="preserve">These swings are </w:t>
      </w:r>
      <w:r>
        <w:rPr>
          <w:b/>
          <w:bCs/>
        </w:rPr>
        <w:t xml:space="preserve">as large as, or larger than, the differences between models.</w:t>
      </w:r>
      <w:r>
        <w:t xml:space="preserve"> A benchmark that reports one prompt per model is measuring the prompt as much as the model. This is the methodological hole that motivated the ensemble (§6.3). A follow-up shows the swings are a fixable design flaw, not a capability ceiling: Template B’s neutral definition (“a factual statement is neutral”) acts as a neutral-magnet — on FPB it drives plutus-8B’s positive-recall down to 0.16 — and three replacement templates that drop that clause recover +0.04 to +0.09 macro-F1 across both prompt-sensitive models on the same 300-sentence subsets (plutus-8B FPB 0.66 → 0.75, FiQA 0.43 → 0.67). This sharpens rather than softens the thesis: plutus’s weakness is partly a prompt artifact, but even with prompts matched it still does not lead. The templates ship as src/prompts.py D/F/H.</w:t>
      </w:r>
    </w:p>
    <w:bookmarkEnd w:id="22"/>
    <w:bookmarkStart w:id="26" w:name="few-shot-help-is-not-free"/>
    <w:p>
      <w:pPr>
        <w:pStyle w:val="Heading3"/>
      </w:pPr>
      <w:r>
        <w:t xml:space="preserve">6.2 Few-shot help is not free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Effect of 3-shot vs 0-shot" title="" id="24" name="Picture"/>
            <a:graphic>
              <a:graphicData uri="http://schemas.openxmlformats.org/drawingml/2006/picture">
                <pic:pic>
                  <pic:nvPicPr>
                    <pic:cNvPr descr="figures/fewshot_effect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Effect of 3-shot vs 0-shot</w:t>
      </w:r>
    </w:p>
    <w:p>
      <w:pPr>
        <w:pStyle w:val="BodyText"/>
      </w:pPr>
      <w:r>
        <w:t xml:space="preserve">Few-shot examples </w:t>
      </w:r>
      <w:r>
        <w:rPr>
          <w:b/>
          <w:bCs/>
        </w:rPr>
        <w:t xml:space="preserve">help on FPB</w:t>
      </w:r>
      <w:r>
        <w:t xml:space="preserve"> (Mistral A: 0.803 → 0.890) but </w:t>
      </w:r>
      <w:r>
        <w:rPr>
          <w:b/>
          <w:bCs/>
        </w:rPr>
        <w:t xml:space="preserve">hurt on FiQA</w:t>
      </w:r>
      <w:r>
        <w:t xml:space="preserve"> (Mistral A: 0.599 → 0.576; plutus A: 0.597 → 0.497) — the FPB-sampled exemplars are off-distribution for FiQA’s microblog text and drag performance down. “Add few-shot” is not a universal win; it depends on whether the exemplars match the target register.</w:t>
      </w:r>
    </w:p>
    <w:bookmarkEnd w:id="26"/>
    <w:bookmarkStart w:id="33" w:name="X2bb2f05a502e551cf1960d4b4e5408150472b24"/>
    <w:p>
      <w:pPr>
        <w:pStyle w:val="Heading3"/>
      </w:pPr>
      <w:r>
        <w:t xml:space="preserve">6.3 A prompt-ensemble buys back robustness (methodological contribution)</w:t>
      </w:r>
    </w:p>
    <w:p>
      <w:pPr>
        <w:pStyle w:val="FirstParagraph"/>
      </w:pPr>
      <w:r>
        <w:t>If a single prompt is unreliable, vote over several. We build a 4-member ensemble (templates A/B × {0,3}-shot) and aggregate by majority vote, with three tie-break policies and a cross-validation-</w:t>
      </w:r>
      <w:r>
        <w:rPr>
          <w:b/>
          <w:bCs/>
        </w:rPr>
        <w:t xml:space="preserve">weighted</w:t>
      </w:r>
      <w:r>
        <w:t xml:space="preserve"> vote (member weights estimated by 5-fold CV on the test predictions — leakage-free for weighting).</w:t>
      </w:r>
    </w:p>
    <w:p>
      <w:pPr>
        <w:pStyle w:val="CaptionedFigure"/>
      </w:pPr>
      <w:r>
        <w:drawing>
          <wp:inline>
            <wp:extent cx="5334000" cy="2155679"/>
            <wp:effectExtent b="0" l="0" r="0" t="0"/>
            <wp:docPr descr="Ensemble vs single-prompt, per model and dataset" title="" id="28" name="Picture"/>
            <a:graphic>
              <a:graphicData uri="http://schemas.openxmlformats.org/drawingml/2006/picture">
                <pic:pic>
                  <pic:nvPicPr>
                    <pic:cNvPr descr="figures/ensemble_vs_singl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Ensemble vs single-prompt, per model and dataset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Aggregator</w:t>
            </w:r>
          </w:p>
        </w:tc>
        <w:tc>
          <w:tcPr/>
          <w:p>
            <w:pPr>
              <w:pStyle w:val="Compact"/>
            </w:pPr>
            <w:r>
              <w:t xml:space="preserve">Mean F1ₘ (6 cells)</w:t>
            </w:r>
          </w:p>
        </w:tc>
        <w:tc>
          <w:tcPr/>
          <w:p>
            <w:pPr>
              <w:pStyle w:val="Compact"/>
            </w:pPr>
            <w:r>
              <w:t xml:space="preserve">Mean coverage</w:t>
            </w:r>
          </w:p>
        </w:tc>
        <w:tc>
          <w:tcPr/>
          <w:p>
            <w:pPr>
              <w:pStyle w:val="Compact"/>
            </w:pPr>
            <w:r>
              <w:t xml:space="preserve">Beats mean-single</w:t>
            </w:r>
          </w:p>
        </w:tc>
        <w:tc>
          <w:tcPr/>
          <w:p>
            <w:pPr>
              <w:pStyle w:val="Compact"/>
            </w:pPr>
            <w:r>
              <w:t xml:space="preserve">Beats best-single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Unweighted majority (abstain on tie)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0.699</w:t>
            </w:r>
          </w:p>
        </w:tc>
        <w:tc>
          <w:tcPr/>
          <w:p>
            <w:pPr>
              <w:pStyle w:val="Compact"/>
            </w:pPr>
            <w:r>
              <w:t xml:space="preserve">0.887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  <w:tc>
          <w:tcPr/>
          <w:p>
            <w:pPr>
              <w:pStyle w:val="Compact"/>
            </w:pPr>
            <w:r>
              <w:t xml:space="preserve">0 /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CV-weighted vote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0.996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/ 6</w:t>
            </w:r>
          </w:p>
        </w:tc>
        <w:tc>
          <w:tcPr/>
          <w:p>
            <w:pPr>
              <w:pStyle w:val="Compact"/>
            </w:pPr>
            <w:r>
              <w:t xml:space="preserve">1 / 6</w:t>
            </w:r>
          </w:p>
        </w:tc>
      </w:tr>
    </w:tbl>
    <w:p>
      <w:pPr>
        <w:pStyle w:val="CaptionedFigure"/>
      </w:pPr>
      <w:r>
        <w:drawing>
          <wp:inline>
            <wp:extent cx="5334000" cy="3556000"/>
            <wp:effectExtent b="0" l="0" r="0" t="0"/>
            <wp:docPr descr="Coverage–F1 trade-off across aggregation policies" title="" id="31" name="Picture"/>
            <a:graphic>
              <a:graphicData uri="http://schemas.openxmlformats.org/drawingml/2006/picture">
                <pic:pic>
                  <pic:nvPicPr>
                    <pic:cNvPr descr="figures/ensemble_coverage_tradeoff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Coverage–F1 trade-off across aggregation policies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The ensemble reliably beats the </w:t>
      </w:r>
      <w:r>
        <w:rPr>
          <w:i/>
          <w:iCs/>
        </w:rPr>
        <w:t xml:space="preserve">expected</w:t>
      </w:r>
      <w:r>
        <w:t xml:space="preserve"> single prompt (the one you would pick blind) on every cell — per-cell gains of </w:t>
      </w:r>
      <w:r>
        <w:rPr>
          <w:b/>
          <w:bCs/>
        </w:rPr>
        <w:t xml:space="preserve">+0.02 to +0.08 F1</w:t>
      </w:r>
      <w:r>
        <w:t xml:space="preserve"> — and never collapses. It does not beat the </w:t>
      </w:r>
      <w:r>
        <w:rPr>
          <w:i/>
          <w:iCs/>
        </w:rPr>
        <w:t xml:space="preserve">oracle best</w:t>
      </w:r>
      <w:r>
        <w:t xml:space="preserve"> single prompt (the one you would only know in hindsight), which is the honest ceiling. The </w:t>
      </w:r>
      <w:r>
        <w:rPr>
          <w:b/>
          <w:bCs/>
        </w:rPr>
        <w:t xml:space="preserve">CV-weighted</w:t>
      </w:r>
      <w:r>
        <w:t xml:space="preserve"> vote is the deployable choice: it keeps ~100% coverage (no abstentions) at almost the same F1. (Caveat: CV-weighting needs labels to estimate member weights, so it is the </w:t>
      </w:r>
      <w:r>
        <w:rPr>
          <w:i/>
          <w:iCs/>
        </w:rPr>
        <w:t xml:space="preserve">best-with-a-validation-set</w:t>
      </w:r>
      <w:r>
        <w:t xml:space="preserve"> option, not a label-free one — unweighted majority is the truly zero-label default.) Net: ensembling converts “pick the right prompt and hope” into a stable default.</w:t>
      </w:r>
    </w:p>
    <w:bookmarkEnd w:id="33"/>
    <w:bookmarkStart w:id="37" w:name="Xdb52456a03ea618efea9b2edf07ebf66e73e49e"/>
    <w:p>
      <w:pPr>
        <w:pStyle w:val="Heading3"/>
      </w:pPr>
      <w:r>
        <w:t xml:space="preserve">6.4 Gold-label quality: 75% vs 100% annotator agreement</w:t>
      </w:r>
    </w:p>
    <w:p>
      <w:pPr>
        <w:pStyle w:val="FirstParagraph"/>
      </w:pPr>
      <w:r>
        <w:t xml:space="preserve">A model is only as trustworthy as the labels it is scored against, so we re-ran the </w:t>
      </w:r>
      <w:r>
        <w:rPr>
          <w:b/>
          <w:bCs/>
        </w:rPr>
        <w:t xml:space="preserve">full pipeline on FPB’s 100%-agreement (AllAgree) split</w:t>
      </w:r>
      <w:r>
        <w:t xml:space="preserve"> — the same models, templates, and shots as the headline, but on the 452-sentence unanimous-label test set (300-sentence subsample for the LLMs; baselines on all 452). This is a proper re-evaluation, not a re-weighting (a separate 14-cell run on Modal; </w:t>
      </w:r>
      <w:r>
        <w:rPr>
          <w:rStyle w:val="VerbatimChar"/>
        </w:rPr>
        <w:t xml:space="preserve">run_allagree.py</w:t>
      </w:r>
      <w:r>
        <w:t xml:space="preserve">).</w:t>
      </w:r>
    </w:p>
    <w:p>
      <w:pPr>
        <w:pStyle w:val="CaptionedFigure"/>
      </w:pPr>
      <w:r>
        <w:drawing>
          <wp:inline>
            <wp:extent cx="5334000" cy="2726266"/>
            <wp:effectExtent b="0" l="0" r="0" t="0"/>
            <wp:docPr descr="FPB macro-F1 at 75% vs 100% annotator agreement" title="" id="35" name="Picture"/>
            <a:graphic>
              <a:graphicData uri="http://schemas.openxmlformats.org/drawingml/2006/picture">
                <pic:pic>
                  <pic:nvPicPr>
                    <pic:cNvPr descr="figures/agreement_comparison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FPB macro-F1 at 75% vs 100% annotator agreement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 (best config)</w:t>
            </w:r>
          </w:p>
        </w:tc>
        <w:tc>
          <w:tcPr/>
          <w:p>
            <w:pPr>
              <w:pStyle w:val="Compact"/>
            </w:pPr>
            <w:r>
              <w:t xml:space="preserve">F1ₘ @ 75%-agree</w:t>
            </w:r>
          </w:p>
        </w:tc>
        <w:tc>
          <w:tcPr/>
          <w:p>
            <w:pPr>
              <w:pStyle w:val="Compact"/>
            </w:pPr>
            <w:r>
              <w:t xml:space="preserve">F1ₘ @ 100%-agree</w:t>
            </w:r>
          </w:p>
        </w:tc>
        <w:tc>
          <w:tcPr/>
          <w:p>
            <w:pPr>
              <w:pStyle w:val="Compact"/>
            </w:pPr>
            <w:r>
              <w:t xml:space="preserve">Δ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FinBERT</w:t>
            </w:r>
          </w:p>
        </w:tc>
        <w:tc>
          <w:tcPr/>
          <w:p>
            <w:pPr>
              <w:pStyle w:val="Compact"/>
            </w:pPr>
            <w:r>
              <w:t xml:space="preserve">0.925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0.977</w:t>
            </w:r>
          </w:p>
        </w:tc>
        <w:tc>
          <w:tcPr/>
          <w:p>
            <w:pPr>
              <w:pStyle w:val="Compact"/>
            </w:pPr>
            <w:r>
              <w:t xml:space="preserve">+0.052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 (A/3-shot)</w:t>
            </w:r>
          </w:p>
        </w:tc>
        <w:tc>
          <w:tcPr/>
          <w:p>
            <w:pPr>
              <w:pStyle w:val="Compact"/>
            </w:pPr>
            <w:r>
              <w:t xml:space="preserve">0.890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0.937</w:t>
            </w:r>
          </w:p>
        </w:tc>
        <w:tc>
          <w:tcPr/>
          <w:p>
            <w:pPr>
              <w:pStyle w:val="Compact"/>
            </w:pPr>
            <w:r>
              <w:t xml:space="preserve">+0.047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 (A/3-shot)</w:t>
            </w:r>
          </w:p>
        </w:tc>
        <w:tc>
          <w:tcPr/>
          <w:p>
            <w:pPr>
              <w:pStyle w:val="Compact"/>
            </w:pPr>
            <w:r>
              <w:t xml:space="preserve">0.832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+0.096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</w:t>
            </w:r>
            <w:r>
              <w:t xml:space="preserve"> (A/3-shot, financial)</w:t>
            </w:r>
          </w:p>
        </w:tc>
        <w:tc>
          <w:tcPr/>
          <w:p>
            <w:pPr>
              <w:pStyle w:val="Compact"/>
            </w:pPr>
            <w:r>
              <w:t xml:space="preserve">0.829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0.851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+0.022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VADER (lexicon, no learning)</w:t>
            </w:r>
          </w:p>
        </w:tc>
        <w:tc>
          <w:tcPr/>
          <w:p>
            <w:pPr>
              <w:pStyle w:val="Compact"/>
            </w:pPr>
            <w:r>
              <w:t xml:space="preserve">0.469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+0.014</w:t>
            </w:r>
          </w:p>
        </w:tc>
      </w:tr>
    </w:tbl>
    <w:p>
      <w:pPr>
        <w:pStyle w:val="BodyText"/>
      </w:pPr>
      <w:r>
        <w:t xml:space="preserve">(FinBERT-tone is absent here: its checkpoint config no longer loads under the required </w:t>
      </w:r>
      <w:r>
        <w:rPr>
          <w:rStyle w:val="VerbatimChar"/>
        </w:rPr>
        <w:t xml:space="preserve">transformers</w:t>
      </w:r>
      <w:r>
        <w:t xml:space="preserve"> version — a reproducibility failure we log in §10.)</w:t>
      </w:r>
    </w:p>
    <w:p>
      <w:pPr>
        <w:pStyle w:val="BodyText"/>
      </w:pPr>
      <w:r>
        <w:rPr>
          <w:b/>
          <w:bCs/>
        </w:rPr>
        <w:t xml:space="preserve">Interpretation.</w:t>
      </w:r>
      <w:r>
        <w:t xml:space="preserve"> Three things, all on-thesis: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Gold-label quality drives the score.</w:t>
      </w:r>
      <w:r>
        <w:t xml:space="preserve"> Every learned model improves on the unanimous gold — the general LLMs and FinBERT by ~5–10 F1 points (Qwen +9.6, FinBERT +5.2, Mistral +4.7) — because most of their “errors” on the 75% set were on the sentences humans themselves disagreed about, a textbook demonstration that label quality, not just the model, sets the ceiling.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VADER is the control.</w:t>
      </w:r>
      <w:r>
        <w:t xml:space="preserve"> A lexicon that does no learning barely moves (+0.014), confirming the gains are real model behaviour on cleaner labels, not an artefact of an easier subset.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 financial model gains the </w:t>
      </w:r>
      <w:r>
        <w:rPr>
          <w:b/>
          <w:bCs/>
          <w:i/>
          <w:iCs/>
        </w:rPr>
        <w:t xml:space="preserve">least</w:t>
      </w:r>
      <w:r>
        <w:rPr>
          <w:b/>
          <w:bCs/>
        </w:rPr>
        <w:t xml:space="preserve"> — and falls </w:t>
      </w:r>
      <w:r>
        <w:rPr>
          <w:b/>
          <w:bCs/>
          <w:i/>
          <w:iCs/>
        </w:rPr>
        <w:t xml:space="preserve">further</w:t>
      </w:r>
      <w:r>
        <w:rPr>
          <w:b/>
          <w:bCs/>
        </w:rPr>
        <w:t xml:space="preserve"> behind.</w:t>
      </w:r>
      <w:r>
        <w:t xml:space="preserve"> plutus-8B improves only +0.022, the smallest of any learned model. On the cleanest gold the gap actually </w:t>
      </w:r>
      <w:r>
        <w:rPr>
          <w:b/>
          <w:bCs/>
        </w:rPr>
        <w:t xml:space="preserve">widens</w:t>
      </w:r>
      <w:r>
        <w:t xml:space="preserve">: plutus (0.851) now trails Mistral (0.937) by 8.6 points and Qwen (0.928) by 7.7 — versus a 6-point / 0.3-point gap on the 75% set. Its remaining errors are on </w:t>
      </w:r>
      <w:r>
        <w:rPr>
          <w:i/>
          <w:iCs/>
        </w:rPr>
        <w:t xml:space="preserve">unambiguous</w:t>
      </w:r>
      <w:r>
        <w:t xml:space="preserve"> sentences, so removing label noise helps it least. The financial-tuning conclusion does not just survive the stricter gold — it gets sharper. And here the gap is </w:t>
      </w:r>
      <w:r>
        <w:rPr>
          <w:b/>
          <w:bCs/>
        </w:rPr>
        <w:t xml:space="preserve">statistically real</w:t>
      </w:r>
      <w:r>
        <w:t>: on AllAgree plutus’s 95% CI [0.806, 0.894] does not overlap Mistral’s [0.908, 0.964] or Qwen’s [0.896, 0.955], whereas on the 75% set the top models’ CIs all overlapped.</w:t>
      </w:r>
    </w:p>
    <w:p>
      <w:pPr>
        <w:pStyle w:val="FirstParagraph"/>
      </w:pPr>
      <w:r>
        <w:t xml:space="preserve">(A no-GPU cross-check that instead </w:t>
      </w:r>
      <w:r>
        <w:rPr>
          <w:i/>
          <w:iCs/>
        </w:rPr>
        <w:t xml:space="preserve">filters</w:t>
      </w:r>
      <w:r>
        <w:t xml:space="preserve"> the existing 75%-agree predictions to their unanimous-agreement subset — </w:t>
      </w:r>
      <w:r>
        <w:rPr>
          <w:rStyle w:val="VerbatimChar"/>
        </w:rPr>
        <w:t xml:space="preserve">eval_allagree.py</w:t>
      </w:r>
      <w:r>
        <w:t xml:space="preserve"> — gives the same ranking and the same direction, an independent confirmation.)</w:t>
      </w:r>
    </w:p>
    <w:bookmarkEnd w:id="37"/>
    <w:bookmarkEnd w:id="38"/>
    <w:bookmarkStart w:id="42" w:name="results-ner"/>
    <w:p>
      <w:pPr>
        <w:pStyle w:val="Heading2"/>
      </w:pPr>
      <w:r>
        <w:t xml:space="preserve">7. Results — NER</w:t>
      </w:r>
    </w:p>
    <w:p>
      <w:pPr>
        <w:pStyle w:val="CaptionedFigure"/>
      </w:pPr>
      <w:r>
        <w:drawing>
          <wp:inline>
            <wp:extent cx="5334000" cy="2036618"/>
            <wp:effectExtent b="0" l="0" r="0" t="0"/>
            <wp:docPr descr="NER: plutus-8B is worst on both datasets" title="" id="40" name="Picture"/>
            <a:graphic>
              <a:graphicData uri="http://schemas.openxmlformats.org/drawingml/2006/picture">
                <pic:pic>
                  <pic:nvPicPr>
                    <pic:cNvPr descr="figures/ner_comparison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NER: plutus-8B is worst on both datasets</w:t>
      </w:r>
    </w:p>
    <w:p>
      <w:pPr>
        <w:pStyle w:val="BodyText"/>
      </w:pPr>
      <w:r>
        <w:rPr>
          <w:b/>
          <w:bCs/>
        </w:rPr>
        <w:t xml:space="preserve">FiNER-ORD (entity strict micro-F1; all models on the same 300-sentence test subsample):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strict-F1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Qwen2.5-7B-Instruct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0.628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Qwen3-8B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0.603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GLiNER-small (specialist)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0.594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GLiNER-large (specialist)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0.561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Mistral-7B-Instruct-v0.3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0.535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Qwen3-4B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0.494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(financial)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0.365</w:t>
            </w:r>
          </w:p>
        </w:tc>
        <w:tc>
          <w:tcPr/>
          <w:p>
            <w:pPr>
              <w:pStyle w:val="Compact"/>
            </w:pPr>
            <w:r>
              <w:t xml:space="preserve">0.853</w:t>
            </w:r>
          </w:p>
        </w:tc>
      </w:tr>
    </w:tbl>
    <w:p>
      <w:pPr>
        <w:pStyle w:val="BodyText"/>
      </w:pPr>
      <w:r>
        <w:rPr>
          <w:b/>
          <w:bCs/>
        </w:rPr>
        <w:t xml:space="preserve">FIN / Alvarado-2015 (entity micro-F1, 98 examples):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  <w:r>
              <w:t xml:space="preserve">micro-F1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  <w:tc>
          <w:tcPr/>
          <w:p>
            <w:pPr>
              <w:pStyle w:val="Compact"/>
            </w:pPr>
            <w:r>
              <w:t xml:space="preserve">paper analog (Table 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Qwen2.5-7B-Instruct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0.160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Mistral-7B-Instruct-v0.3</w:t>
            </w:r>
          </w:p>
        </w:tc>
        <w:tc>
          <w:tcPr/>
          <w:p>
            <w:pPr>
              <w:pStyle w:val="Compact"/>
            </w:pPr>
            <w:r>
              <w:t xml:space="preserve">0.153</w:t>
            </w:r>
          </w:p>
        </w:tc>
        <w:tc>
          <w:tcPr/>
          <w:p>
            <w:pPr>
              <w:pStyle w:val="Compact"/>
            </w:pPr>
            <w:r>
              <w:t xml:space="preserve">0.94</w:t>
            </w:r>
          </w:p>
        </w:tc>
        <w:tc>
          <w:tcPr/>
          <w:p>
            <w:pPr>
              <w:pStyle w:val="Compact"/>
            </w:pPr>
            <w:r>
              <w:t xml:space="preserve">Mistral-v0.1: 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plutus-8B-instruct</w:t>
            </w:r>
            <w:r>
              <w:t xml:space="preserve"> (financial)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0.107</w:t>
            </w:r>
          </w:p>
        </w:tc>
        <w:tc>
          <w:tcPr/>
          <w:p>
            <w:pPr>
              <w:pStyle w:val="Compact"/>
            </w:pPr>
            <w:r>
              <w:t xml:space="preserve">1.00</w:t>
            </w:r>
          </w:p>
        </w:tc>
        <w:tc>
          <w:tcPr/>
          <w:p>
            <w:pPr>
              <w:pStyle w:val="Compact"/>
            </w:pPr>
            <w:r>
              <w:t xml:space="preserve">FinLLaMA-instruct: </w:t>
            </w:r>
            <w:r>
              <w:rPr>
                <w:b/>
                <w:bCs/>
              </w:rPr>
              <w:t xml:space="preserve">0.57</w:t>
            </w:r>
          </w:p>
        </w:tc>
      </w:tr>
    </w:tbl>
    <w:p>
      <w:pPr>
        <w:pStyle w:val="BodyText"/>
      </w:pPr>
      <w:r>
        <w:rPr>
          <w:b/>
          <w:bCs/>
        </w:rPr>
        <w:t xml:space="preserve">Interpretation.</w:t>
      </w:r>
      <w:r>
        <w:t xml:space="preserve"> - </w:t>
      </w:r>
      <w:r>
        <w:rPr>
          <w:b/>
          <w:bCs/>
        </w:rPr>
        <w:t xml:space="preserve">The tuning claim fails again, more clearly.</w:t>
      </w:r>
      <w:r>
        <w:t xml:space="preserve"> plutus-8B is the </w:t>
      </w:r>
      <w:r>
        <w:rPr>
          <w:b/>
          <w:bCs/>
        </w:rPr>
        <w:t>worst LLM on both</w:t>
      </w:r>
      <w:r>
        <w:t xml:space="preserve"> NER datasets — and on FiNER-ORD it is the only model that also drops coverage (0.853). The general Qwen2.5 leads both. GLiNER (a tiny specialist) beats Mistral and the smaller Qwen3-4B on FiNER-ORD and loses only to the two strongest general models (Qwen2.5, Qwen3-8B) — a reminder that a purpose-built NER model is competitive with much larger chat models at a fraction of the size. - </w:t>
      </w:r>
      <w:r>
        <w:rPr>
          <w:b/>
          <w:bCs/>
        </w:rPr>
        <w:t xml:space="preserve">No open model reaches half the paper’s FIN score</w:t>
      </w:r>
      <w:r>
        <w:t xml:space="preserve"> (best 0.160 vs the paper’s 0.57 for FinLLaMA-instruct). Most of that gap is </w:t>
      </w:r>
      <w:r>
        <w:rPr>
          <w:b/>
          <w:bCs/>
        </w:rPr>
        <w:t xml:space="preserve">methodological</w:t>
      </w:r>
      <w:r>
        <w:t xml:space="preserve">, not a quality collapse: strict span matching, 4-bit, a 98-example set, and a substitute model (see §8–§9). The paper’s “Entity F1” likely normalises case/punctuation before matching; we did not. - </w:t>
      </w:r>
      <w:r>
        <w:rPr>
          <w:b/>
          <w:bCs/>
        </w:rPr>
        <w:t xml:space="preserve">A one-version bump moves NER 15 points.</w:t>
      </w:r>
      <w:r>
        <w:t xml:space="preserve"> The paper lists Mistral-</w:t>
      </w:r>
      <w:r>
        <w:rPr>
          <w:b/>
          <w:bCs/>
        </w:rPr>
        <w:t xml:space="preserve">v0.1</w:t>
      </w:r>
      <w:r>
        <w:t xml:space="preserve"> at 0.00 (it refused/unparseable). Mistral-</w:t>
      </w:r>
      <w:r>
        <w:rPr>
          <w:b/>
          <w:bCs/>
        </w:rPr>
        <w:t xml:space="preserve">v0.3</w:t>
      </w:r>
      <w:r>
        <w:t xml:space="preserve"> follows the format and reaches 0.153. Minor version identity matters enormously for these comparisons — a reproducibility warning in its own right.</w:t>
      </w:r>
    </w:p>
    <w:bookmarkEnd w:id="42"/>
    <w:bookmarkStart w:id="48" w:name="error-analysis"/>
    <w:p>
      <w:pPr>
        <w:pStyle w:val="Heading2"/>
      </w:pPr>
      <w:r>
        <w:t xml:space="preserve">8. Error analysis</w:t>
      </w:r>
    </w:p>
    <w:bookmarkStart w:id="46" w:name="X82a206b054b26c95c88670d83adae5b0d119185"/>
    <w:p>
      <w:pPr>
        <w:pStyle w:val="Heading3"/>
      </w:pPr>
      <w:r>
        <w:t xml:space="preserve">8.1 Sentiment — where plutus-8B misses (30 hand-tagged FPB errors)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What it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missed_positive_cue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 (50%)</w:t>
            </w:r>
          </w:p>
        </w:tc>
        <w:tc>
          <w:tcPr/>
          <w:p>
            <w:pPr>
              <w:pStyle w:val="Compact"/>
            </w:pPr>
            <w:r>
              <w:t xml:space="preserve">Mild / forward-looking positives read as neutral (neutral-bias)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numerical_reasoning</w:t>
            </w:r>
          </w:p>
        </w:tc>
        <w:tc>
          <w:tcPr/>
          <w:p>
            <w:pPr>
              <w:pStyle w:val="Compact"/>
            </w:pPr>
            <w:r>
              <w:t xml:space="preserve">8 (27%)</w:t>
            </w:r>
          </w:p>
        </w:tc>
        <w:tc>
          <w:tcPr/>
          <w:p>
            <w:pPr>
              <w:pStyle w:val="Compact"/>
            </w:pPr>
            <w:r>
              <w:t>Needs comparing figures: “loss narrowed 3.7→1.8mn”, “profit 17.7 vs 17.6”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factual_neutral_misclassed</w:t>
            </w:r>
          </w:p>
        </w:tc>
        <w:tc>
          <w:tcPr/>
          <w:p>
            <w:pPr>
              <w:pStyle w:val="Compact"/>
            </w:pPr>
            <w:r>
              <w:t xml:space="preserve">6 (20%)</w:t>
            </w:r>
          </w:p>
        </w:tc>
        <w:tc>
          <w:tcPr/>
          <w:p>
            <w:pPr>
              <w:pStyle w:val="Compact"/>
            </w:pPr>
            <w:r>
              <w:t xml:space="preserve">A neutral fact (appointment, M&amp;A, delisting, restructuring) read as pos/neg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ambiguous / out-of-domain</w:t>
            </w:r>
          </w:p>
        </w:tc>
        <w:tc>
          <w:tcPr/>
          <w:p>
            <w:pPr>
              <w:pStyle w:val="Compact"/>
            </w:pPr>
            <w:r>
              <w:t xml:space="preserve">1 (3%)</w:t>
            </w:r>
          </w:p>
        </w:tc>
        <w:tc>
          <w:tcPr/>
          <w:p>
            <w:pPr>
              <w:pStyle w:val="Compact"/>
            </w:pPr>
            <w:r>
              <w:t xml:space="preserve">Genuinely unclear sentence</w:t>
            </w:r>
          </w:p>
        </w:tc>
      </w:tr>
    </w:tbl>
    <w:p>
      <w:pPr>
        <w:pStyle w:val="CaptionedFigure"/>
      </w:pPr>
      <w:r>
        <w:drawing>
          <wp:inline>
            <wp:extent cx="5334000" cy="16001999"/>
            <wp:effectExtent b="0" l="0" r="0" t="0"/>
            <wp:docPr descr="Confusion matrices across models and datasets" title="" id="44" name="Picture"/>
            <a:graphic>
              <a:graphicData uri="http://schemas.openxmlformats.org/drawingml/2006/picture">
                <pic:pic>
                  <pic:nvPicPr>
                    <pic:cNvPr descr="figures/confusion_grid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00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 across models and datasets</w:t>
      </w:r>
    </w:p>
    <w:p>
      <w:pPr>
        <w:pStyle w:val="BodyText"/>
      </w:pPr>
      <w:r>
        <w:t xml:space="preserve">The error profile is dominated by a </w:t>
      </w:r>
      <w:r>
        <w:rPr>
          <w:b/>
          <w:bCs/>
        </w:rPr>
        <w:t xml:space="preserve">conservative neutral-bias</w:t>
      </w:r>
      <w:r>
        <w:t xml:space="preserve">: half the misses are positives that plutus down-graded to neutral (“plans to expand internationally”, “renewed its contract with Fujitsu”, “expects net sales to increase”). A further quarter are </w:t>
      </w:r>
      <w:r>
        <w:rPr>
          <w:b/>
          <w:bCs/>
        </w:rPr>
        <w:t xml:space="preserve">numerical-reasoning</w:t>
      </w:r>
      <w:r>
        <w:t xml:space="preserve"> failures — the model sees the word “loss” and answers negative even when the loss </w:t>
      </w:r>
      <w:r>
        <w:rPr>
          <w:i/>
          <w:iCs/>
        </w:rPr>
        <w:t xml:space="preserve">narrowed</w:t>
      </w:r>
      <w:r>
        <w:t xml:space="preserve"> year-on-year (genuinely positive). Only one of thirty errors is truly ambiguous; these are mostly </w:t>
      </w:r>
      <w:r>
        <w:rPr>
          <w:i/>
          <w:iCs/>
        </w:rPr>
        <w:t xml:space="preserve">real</w:t>
      </w:r>
      <w:r>
        <w:t xml:space="preserve"> mistakes, not label noise. The per-class confusion grid confirms the neutral-column is where probability mass leaks.</w:t>
      </w:r>
    </w:p>
    <w:bookmarkEnd w:id="46"/>
    <w:bookmarkStart w:id="47" w:name="X115a083a019c26aa677d94ecd2e9a186e39a360"/>
    <w:p>
      <w:pPr>
        <w:pStyle w:val="Heading3"/>
      </w:pPr>
      <w:r>
        <w:t xml:space="preserve">8.2 NER — strict matching punishes a well-behaved model</w:t>
      </w:r>
    </w:p>
    <w:p>
      <w:pPr>
        <w:pStyle w:val="FirstParagraph"/>
      </w:pPr>
      <w:r>
        <w:t xml:space="preserve">plutus on FIN has </w:t>
      </w:r>
      <w:r>
        <w:rPr>
          <w:b/>
          <w:bCs/>
        </w:rPr>
        <w:t xml:space="preserve">perfect format compliance (0 parse failures)</w:t>
      </w:r>
      <w:r>
        <w:t xml:space="preserve"> yet the lowest F1. Reading its outputs, the misses are overwhelmingly </w:t>
      </w:r>
      <w:r>
        <w:rPr>
          <w:b/>
          <w:bCs/>
        </w:rPr>
        <w:t xml:space="preserve">span-boundary disagreements</w:t>
      </w:r>
      <w:r>
        <w:t xml:space="preserve"> — “Evergreen Solar Inc.” vs gold “Evergreen Solar Inc” (trailing period), and all-caps duplicates the model merges into one span. The model is not hallucinating entities; it is losing a strict string match. This is exactly the case where a </w:t>
      </w:r>
      <w:r>
        <w:rPr>
          <w:b/>
          <w:bCs/>
        </w:rPr>
        <w:t xml:space="preserve">normalised-match</w:t>
      </w:r>
      <w:r>
        <w:t xml:space="preserve"> metric would close much of the gap — and a caution against reading a single strict-F1 number as “the model can’t do NER”.</w:t>
      </w:r>
    </w:p>
    <w:bookmarkEnd w:id="47"/>
    <w:bookmarkEnd w:id="48"/>
    <w:bookmarkStart w:id="49" w:name="critical-assessment-and-limitations"/>
    <w:p>
      <w:pPr>
        <w:pStyle w:val="Heading2"/>
      </w:pPr>
      <w:r>
        <w:t xml:space="preserve">9. Critical assessment and limitations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model is a substitute.</w:t>
      </w:r>
      <w:r>
        <w:t xml:space="preserve"> plutus-8B ≠ FinLLaMA-instruct. Our “financial tuning didn’t help” is strictly a statement about plutus; it is </w:t>
      </w:r>
      <w:r>
        <w:rPr>
          <w:i/>
          <w:iCs/>
        </w:rPr>
        <w:t xml:space="preserve">consistent with</w:t>
      </w:r>
      <w:r>
        <w:t xml:space="preserve"> the paper’s model being un-reproducible, but it is not a direct refutation.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Statistical power is thin.</w:t>
      </w:r>
      <w:r>
        <w:t xml:space="preserve"> 300-sentence sentiment subsamples and 98–300 NER items mean confidence intervals are wide; small F1 gaps (e.g. plutus vs Qwen on FPB) should not be over-read.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4-bit, not fp16.</w:t>
      </w:r>
      <w:r>
        <w:t xml:space="preserve"> Quantization can cost a few points; the paper likely ran full precision. This handicaps </w:t>
      </w:r>
      <w:r>
        <w:rPr>
          <w:i/>
          <w:iCs/>
        </w:rPr>
        <w:t xml:space="preserve">all</w:t>
      </w:r>
      <w:r>
        <w:t xml:space="preserve"> our LLMs equally but widens the gap to the paper.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Strict NER matching</w:t>
      </w:r>
      <w:r>
        <w:t xml:space="preserve"> understates real performance (§8.2).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Possible benchmark contamination.</w:t>
      </w:r>
      <w:r>
        <w:t xml:space="preserve"> FPB/FiQA/FIN are old and public; pre-training exposure would inflate every model and is unmeasurable here.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Coverage is not free F1.</w:t>
      </w:r>
      <w:r>
        <w:t xml:space="preserve"> plutus’s FiQA template-B run answers only when confident; we report its F1 on what it answered and its coverage separately, rather than papering over the abstentions. Relatedly, the FiQA neutral band (±0.10) is a fixed convention we did not tune or sweep; because FiQA is where the rankings are closest, its width sets neutral prevalence and could shift them — a ±0.05 / ±0.15 sensitivity check is left to future work.</w:t>
      </w:r>
    </w:p>
    <w:p>
      <w:pPr>
        <w:pStyle w:val="FirstParagraph"/>
      </w:pPr>
      <w:r>
        <w:rPr>
          <w:b/>
          <w:bCs/>
        </w:rPr>
        <w:t xml:space="preserve">What I would distrust most about these numbers:</w:t>
      </w:r>
      <w:r>
        <w:t xml:space="preserve"> the absolute NER F1 (strict matching + tiny FIN set) and any sentiment gap inside the bootstrap CIs — for the 300-sample LLM runs that is </w:t>
      </w:r>
      <w:r>
        <w:rPr>
          <w:b/>
          <w:bCs/>
        </w:rPr>
        <w:t xml:space="preserve">~±0.045</w:t>
      </w:r>
      <w:r>
        <w:t xml:space="preserve">, so two-model differences under ~0.06–0.09 F1 are not significant (e.g. plutus vs Qwen on FPB). What I would trust: the </w:t>
      </w:r>
      <w:r>
        <w:rPr>
          <w:i/>
          <w:iCs/>
        </w:rPr>
        <w:t xml:space="preserve">direction</w:t>
      </w:r>
      <w:r>
        <w:t xml:space="preserve"> — financial tuning not leading on any of four datasets, prompt variance being large, and plutus falling </w:t>
      </w:r>
      <w:r>
        <w:rPr>
          <w:i/>
          <w:iCs/>
        </w:rPr>
        <w:t xml:space="preserve">significantly</w:t>
      </w:r>
      <w:r>
        <w:t xml:space="preserve"> behind on the 100%-agreement gold — because these hold across datasets, seeds, aggregation policies, and now CIs.</w:t>
      </w:r>
    </w:p>
    <w:bookmarkEnd w:id="49"/>
    <w:bookmarkStart w:id="50" w:name="what-we-got-wrong-during-the-research"/>
    <w:p>
      <w:pPr>
        <w:pStyle w:val="Heading2"/>
      </w:pPr>
      <w:r>
        <w:t xml:space="preserve">10. What we got wrong during the research</w:t>
      </w:r>
    </w:p>
    <w:p>
      <w:pPr>
        <w:pStyle w:val="FirstParagraph"/>
      </w:pPr>
      <w:r>
        <w:t>An honest log of the missteps — these cost the most time and are the most useful to the next person: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Assumed the paper’s model would be downloadable.</w:t>
      </w:r>
      <w:r>
        <w:t xml:space="preserve"> </w:t>
      </w:r>
      <w:r>
        <w:rPr>
          <w:rStyle w:val="VerbatimChar"/>
        </w:rPr>
        <w:t xml:space="preserve">FinLLaMA-instruct</w:t>
      </w:r>
      <w:r>
        <w:t xml:space="preserve"> was un-published mid-project (404). We lost time before accepting it and substituting plutus-8B. </w:t>
      </w:r>
      <w:r>
        <w:rPr>
          <w:i/>
          <w:iCs/>
        </w:rPr>
        <w:t xml:space="preserve">Lesson:</w:t>
      </w:r>
      <w:r>
        <w:t xml:space="preserve"> pin and cache the exact artifact on day one; treat “available on HF” as a risk, not a given.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Trusted the default </w:t>
      </w:r>
      <w:r>
        <w:rPr>
          <w:rStyle w:val="VerbatimChar"/>
          <w:b/>
          <w:bCs/>
        </w:rPr>
        <w:t xml:space="preserve">transformers</w:t>
      </w:r>
      <w:r>
        <w:rPr>
          <w:b/>
          <w:bCs/>
        </w:rPr>
        <w:t xml:space="preserve"> version.</w:t>
      </w:r>
      <w:r>
        <w:t xml:space="preserve"> plutus returned </w:t>
      </w:r>
      <w:r>
        <w:rPr>
          <w:b/>
          <w:bCs/>
        </w:rPr>
        <w:t xml:space="preserve">empty strings</w:t>
      </w:r>
      <w:r>
        <w:t xml:space="preserve"> on raw prompts until we (a) bumped </w:t>
      </w:r>
      <w:r>
        <w:rPr>
          <w:rStyle w:val="VerbatimChar"/>
        </w:rPr>
        <w:t xml:space="preserve">transformers</w:t>
      </w:r>
      <w:r>
        <w:t xml:space="preserve"> 4.44→4.50 for its tokenizer and</w:t>
      </w:r>
    </w:p>
    <w:p>
      <w:pPr>
        <w:pStyle w:val="Compact"/>
        <w:numPr>
          <w:ilvl w:val="1"/>
          <w:numId w:val="1010"/>
        </w:numPr>
      </w:pPr>
      <w:r>
        <w:t xml:space="preserve">enabled the </w:t>
      </w:r>
      <w:r>
        <w:rPr>
          <w:b/>
          <w:bCs/>
        </w:rPr>
        <w:t xml:space="preserve">chat template</w:t>
      </w:r>
      <w:r>
        <w:t xml:space="preserve"> (</w:t>
      </w:r>
      <w:r>
        <w:rPr>
          <w:rStyle w:val="VerbatimChar"/>
        </w:rPr>
        <w:t xml:space="preserve">apply_chat_template</w:t>
      </w:r>
      <w:r>
        <w:t xml:space="preserve">) — instruction-tuned models need their chat format, not a bare prompt. Qwen3-8B was blocked entirely until a newer </w:t>
      </w:r>
      <w:r>
        <w:rPr>
          <w:rStyle w:val="VerbatimChar"/>
        </w:rPr>
        <w:t xml:space="preserve">transformers</w:t>
      </w:r>
      <w:r>
        <w:t xml:space="preserve">. </w:t>
      </w:r>
      <w:r>
        <w:rPr>
          <w:i/>
          <w:iCs/>
        </w:rPr>
        <w:t xml:space="preserve">Lesson:</w:t>
      </w:r>
      <w:r>
        <w:t xml:space="preserve"> version-and-chat-format mismatches look like “the model is bad” but are harness bugs.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Initially read plutus’s low NER score as incompetence.</w:t>
      </w:r>
      <w:r>
        <w:t xml:space="preserve"> It was </w:t>
      </w:r>
      <w:r>
        <w:rPr>
          <w:b/>
          <w:bCs/>
        </w:rPr>
        <w:t>strict span-matching</w:t>
      </w:r>
      <w:r>
        <w:t xml:space="preserve"> (trailing periods, case) against a model with </w:t>
      </w:r>
      <w:r>
        <w:rPr>
          <w:i/>
          <w:iCs/>
        </w:rPr>
        <w:t xml:space="preserve">perfect</w:t>
      </w:r>
      <w:r>
        <w:t xml:space="preserve"> format compliance. We almost reported a wrong conclusion before inspecting raw outputs. </w:t>
      </w:r>
      <w:r>
        <w:rPr>
          <w:i/>
          <w:iCs/>
        </w:rPr>
        <w:t xml:space="preserve">Lesson:</w:t>
      </w:r>
      <w:r>
        <w:t xml:space="preserve"> always read the raw misses before believing a metric.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Compared against the paper’s Mistral-v0.1 as if versions were interchangeable.</w:t>
      </w:r>
      <w:r>
        <w:t xml:space="preserve"> v0.1 → v0.3 swings NER by 15 points. </w:t>
      </w:r>
      <w:r>
        <w:rPr>
          <w:i/>
          <w:iCs/>
        </w:rPr>
        <w:t xml:space="preserve">Lesson:</w:t>
      </w:r>
      <w:r>
        <w:t xml:space="preserve"> record exact model revisions.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Briefly committed a real </w:t>
      </w:r>
      <w:r>
        <w:rPr>
          <w:rStyle w:val="VerbatimChar"/>
          <w:b/>
          <w:bCs/>
        </w:rPr>
        <w:t xml:space="preserve">HF_TOKEN</w:t>
      </w:r>
      <w:r>
        <w:t xml:space="preserve"> to a local commit before redacting it. </w:t>
      </w:r>
      <w:r>
        <w:rPr>
          <w:i/>
          <w:iCs/>
        </w:rPr>
        <w:t xml:space="preserve">Lesson:</w:t>
      </w:r>
      <w:r>
        <w:t xml:space="preserve"> secrets never touch the repo; rotate immediately if they do (we did).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Let results scatter across branches.</w:t>
      </w:r>
      <w:r>
        <w:t xml:space="preserve"> The complete sentiment matrix, the prompt-ensemble, the FiNER-ORD NER, and the FIN/Alvarado NER each lived on a </w:t>
      </w:r>
      <w:r>
        <w:rPr>
          <w:i/>
          <w:iCs/>
        </w:rPr>
        <w:t xml:space="preserve">different</w:t>
      </w:r>
      <w:r>
        <w:t xml:space="preserve"> branch/worktree; the FIN reproduction was nearly lost. This report re-consolidated them and </w:t>
      </w:r>
      <w:r>
        <w:rPr>
          <w:b/>
          <w:bCs/>
        </w:rPr>
        <w:t xml:space="preserve">re-ran every aggregation to verify the numbers</w:t>
      </w:r>
      <w:r>
        <w:t xml:space="preserve">. </w:t>
      </w:r>
      <w:r>
        <w:rPr>
          <w:i/>
          <w:iCs/>
        </w:rPr>
        <w:t xml:space="preserve">Lesson:</w:t>
      </w:r>
      <w:r>
        <w:t xml:space="preserve"> one place for results, and re-aggregate from raw predictions before writing anything down.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FinBERT-tone stopped loading.</w:t>
      </w:r>
      <w:r>
        <w:t xml:space="preserve"> Our earlier </w:t>
      </w:r>
      <w:r>
        <w:rPr>
          <w:rStyle w:val="VerbatimChar"/>
        </w:rPr>
        <w:t xml:space="preserve">finbert-tone</w:t>
      </w:r>
      <w:r>
        <w:t xml:space="preserve"> baseline (in the 75%-agree table) no longer instantiates under the </w:t>
      </w:r>
      <w:r>
        <w:rPr>
          <w:rStyle w:val="VerbatimChar"/>
        </w:rPr>
        <w:t xml:space="preserve">transformers</w:t>
      </w:r>
      <w:r>
        <w:t xml:space="preserve"> version the rest of the stack now requires — its </w:t>
      </w:r>
      <w:r>
        <w:rPr>
          <w:rStyle w:val="VerbatimChar"/>
        </w:rPr>
        <w:t xml:space="preserve">config.json</w:t>
      </w:r>
      <w:r>
        <w:t xml:space="preserve"> lacks a </w:t>
      </w:r>
      <w:r>
        <w:rPr>
          <w:rStyle w:val="VerbatimChar"/>
        </w:rPr>
        <w:t xml:space="preserve">model_type</w:t>
      </w:r>
      <w:r>
        <w:t xml:space="preserve"> the newer loader demands (“Unrecognized model”). We caught it when the AllAgree run skipped it, and report the AllAgree comparison without it. </w:t>
      </w:r>
      <w:r>
        <w:rPr>
          <w:i/>
          <w:iCs/>
        </w:rPr>
        <w:t xml:space="preserve">Lesson:</w:t>
      </w:r>
      <w:r>
        <w:t xml:space="preserve"> a working baseline can silently rot across a dependency bump; pin per-model environments or re-verify every baseline each run.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 unpinned-dependency test failure.</w:t>
      </w:r>
      <w:r>
        <w:t xml:space="preserve"> The full </w:t>
      </w:r>
      <w:r>
        <w:rPr>
          <w:rStyle w:val="VerbatimChar"/>
        </w:rPr>
        <w:t xml:space="preserve">pytest</w:t>
      </w:r>
      <w:r>
        <w:t xml:space="preserve"> on a fresh install fails 11 tests in </w:t>
      </w:r>
      <w:r>
        <w:rPr>
          <w:rStyle w:val="VerbatimChar"/>
        </w:rPr>
        <w:t xml:space="preserve">test_evaluation.py</w:t>
      </w:r>
      <w:r>
        <w:t xml:space="preserve"> because pip resolved an unpinned </w:t>
      </w:r>
      <w:r>
        <w:rPr>
          <w:rStyle w:val="VerbatimChar"/>
        </w:rPr>
        <w:t xml:space="preserve">scipy</w:t>
      </w:r>
      <w:r>
        <w:t xml:space="preserve">/</w:t>
      </w:r>
      <w:r>
        <w:rPr>
          <w:rStyle w:val="VerbatimChar"/>
        </w:rPr>
        <w:t xml:space="preserve">torch</w:t>
      </w:r>
      <w:r>
        <w:t xml:space="preserve"> version combo whose array-API probe throws on importing scikit-learn. The evaluation code </w:t>
      </w:r>
      <w:r>
        <w:rPr>
          <w:b/>
          <w:bCs/>
        </w:rPr>
        <w:t xml:space="preserve">was never wrong</w:t>
      </w:r>
      <w:r>
        <w:t xml:space="preserve"> (it is the same code that produced the verified tables), and pinning scipy &lt; 1.17 restores a fully green suite. </w:t>
      </w:r>
      <w:r>
        <w:rPr>
          <w:i/>
          <w:iCs/>
        </w:rPr>
        <w:t xml:space="preserve">Lesson:</w:t>
      </w:r>
      <w:r>
        <w:t xml:space="preserve"> pin transitive scientific-stack versions — an unbounded requirement can turn a clean repo red on someone else’s machine.</w:t>
      </w:r>
    </w:p>
    <w:bookmarkEnd w:id="50"/>
    <w:bookmarkStart w:id="51" w:name="lessons-learned"/>
    <w:p>
      <w:pPr>
        <w:pStyle w:val="Heading2"/>
      </w:pPr>
      <w:r>
        <w:t xml:space="preserve">11. Lessons learned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Reproducibility is the real finding.</w:t>
      </w:r>
      <w:r>
        <w:t xml:space="preserve"> Two of our headline results are </w:t>
      </w:r>
      <w:r>
        <w:rPr>
          <w:i/>
          <w:iCs/>
        </w:rPr>
        <w:t xml:space="preserve">meta</w:t>
      </w:r>
      <w:r>
        <w:t>-results: a paper model can vanish, and a minor version bump can swing a benchmark by 15 points. LLM benchmark numbers are far less portable than they look.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Prompt ≥ model, often.</w:t>
      </w:r>
      <w:r>
        <w:t xml:space="preserve"> Report a distribution over prompts, or ensemble — never a single prompt — if you want a claim that survives a re-run.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Coverage belongs next to accuracy.</w:t>
      </w:r>
      <w:r>
        <w:t xml:space="preserve"> A model that hedges should not be rewarded by a force-to-neutral default.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Gold-label quality drives the score — and re-ranks robustness.</w:t>
      </w:r>
      <w:r>
        <w:t xml:space="preserve"> Re-running on FPB’s unanimous-agreement gold lifts every learned model 5–10 F1 points (VADER flat), and the financial-tuned model gains the </w:t>
      </w:r>
      <w:r>
        <w:rPr>
          <w:i/>
          <w:iCs/>
        </w:rPr>
        <w:t xml:space="preserve">least</w:t>
      </w:r>
      <w:r>
        <w:t>, widening its deficit. Always report which agreement level you used and, ideally, validate on the cleanest subset.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Right tool for the task.</w:t>
      </w:r>
      <w:r>
        <w:t xml:space="preserve"> FinBERT for in-distribution sentiment; GLiNER for NER; general chat LLMs as flexible-but-not-dominant generalists. The financial-tuned 8B did not earn a default slot anywhere in our evaluation.</w:t>
      </w:r>
    </w:p>
    <w:p>
      <w:pPr>
        <w:pStyle w:val="FirstParagraph"/>
      </w:pPr>
      <w:r>
        <w:rPr>
          <w:b/>
          <w:bCs/>
        </w:rPr>
        <w:t xml:space="preserve">What we’d do with another month:</w:t>
      </w:r>
      <w:r>
        <w:t xml:space="preserve"> add a normalised-match NER metric and re-run (likely closes much of the FIN gap); get access to </w:t>
      </w:r>
      <w:r>
        <w:rPr>
          <w:rStyle w:val="VerbatimChar"/>
        </w:rPr>
        <w:t xml:space="preserve">FinMA-7B-full</w:t>
      </w:r>
      <w:r>
        <w:t xml:space="preserve"> and the real </w:t>
      </w:r>
      <w:r>
        <w:rPr>
          <w:rStyle w:val="VerbatimChar"/>
        </w:rPr>
        <w:t xml:space="preserve">FinLLaMA-instruct</w:t>
      </w:r>
      <w:r>
        <w:t xml:space="preserve"> if re-published; run fp16 on a bigger GPU to remove the quantization confound; complete the prompt-ensemble’s template-C members (E3/E5); and bootstrap confidence intervals on every F1.</w:t>
      </w:r>
    </w:p>
    <w:bookmarkEnd w:id="51"/>
    <w:bookmarkStart w:id="52" w:name="conclusion"/>
    <w:p>
      <w:pPr>
        <w:pStyle w:val="Heading2"/>
      </w:pPr>
      <w:r>
        <w:t xml:space="preserve">12. Conclusion</w:t>
      </w:r>
    </w:p>
    <w:p>
      <w:pPr>
        <w:pStyle w:val="Compact"/>
        <w:numPr>
          <w:ilvl w:val="0"/>
          <w:numId w:val="1012"/>
        </w:numPr>
      </w:pPr>
      <w:r>
        <w:t xml:space="preserve">On four financial datasets, </w:t>
      </w:r>
      <w:r>
        <w:rPr>
          <w:b/>
          <w:bCs/>
        </w:rPr>
        <w:t xml:space="preserve">financial instruction tuning (plutus-8B) never led</w:t>
      </w:r>
      <w:r>
        <w:t xml:space="preserve"> — mid-pack on sentiment, worst on NER. Strictly, this tests the claim on a </w:t>
      </w:r>
      <w:r>
        <w:rPr>
          <w:i/>
          <w:iCs/>
        </w:rPr>
        <w:t xml:space="preserve">proxy</w:t>
      </w:r>
      <w:r>
        <w:t xml:space="preserve"> (plutus stands in for the unpublished FinLLaMA-instruct), so it is evidence against the general “financial tuning helps” thesis rather than a direct refutation of the paper’s specific model. On this evaluation the claim did not reproduce.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Prompt variance is first-order</w:t>
      </w:r>
      <w:r>
        <w:t>, and a cheap prompt-ensemble converts it from a liability into a stable default.</w:t>
      </w:r>
    </w:p>
    <w:p>
      <w:pPr>
        <w:pStyle w:val="Compact"/>
        <w:numPr>
          <w:ilvl w:val="0"/>
          <w:numId w:val="1012"/>
        </w:numPr>
      </w:pPr>
      <w:r>
        <w:t xml:space="preserve">The most transferable lessons are about </w:t>
      </w:r>
      <w:r>
        <w:rPr>
          <w:b/>
          <w:bCs/>
        </w:rPr>
        <w:t xml:space="preserve">reproducibility</w:t>
      </w:r>
      <w:r>
        <w:t xml:space="preserve"> — disappearing artifacts, version sensitivity, and the discipline of re-aggregating from raw predictions — which matter more than any single F1 in the tables.</w:t>
      </w:r>
    </w:p>
    <w:p>
      <w:r>
        <w:pict>
          <v:rect style="width:0;height:1.5pt" o:hralign="center" o:hrstd="t" o:hr="t"/>
        </w:pict>
      </w:r>
    </w:p>
    <w:bookmarkEnd w:id="52"/>
    <w:bookmarkStart w:id="53" w:name="appendix-a-reproducibility"/>
    <w:p>
      <w:pPr>
        <w:pStyle w:val="Heading2"/>
      </w:pPr>
      <w:r>
        <w:t xml:space="preserve">Appendix A — Reproducibility</w:t>
      </w:r>
    </w:p>
    <w:p>
      <w:pPr>
        <w:pStyle w:val="FirstParagraph"/>
      </w:pPr>
      <w:r>
        <w:rPr>
          <w:b/>
          <w:bCs/>
        </w:rPr>
        <w:t xml:space="preserve">What ships, and what reproduces from it.</w:t>
      </w:r>
      <w:r>
        <w:t xml:space="preserve"> The committed summary tables and confusion matrices (</w:t>
      </w:r>
      <w:r>
        <w:rPr>
          <w:rStyle w:val="VerbatimChar"/>
        </w:rPr>
        <w:t xml:space="preserve">results/summary/*.csv</w:t>
      </w:r>
      <w:r>
        <w:t xml:space="preserve">, </w:t>
      </w:r>
      <w:r>
        <w:rPr>
          <w:rStyle w:val="VerbatimChar"/>
        </w:rPr>
        <w:t xml:space="preserve">results/summary/confusions*/</w:t>
      </w:r>
      <w:r>
        <w:t xml:space="preserve">) are in the deliverable; the raw per-run </w:t>
      </w:r>
      <w:r>
        <w:rPr>
          <w:rStyle w:val="VerbatimChar"/>
        </w:rPr>
        <w:t xml:space="preserve">results/predictions/</w:t>
      </w:r>
      <w:r>
        <w:t xml:space="preserve"> is </w:t>
      </w:r>
      <w:r>
        <w:rPr>
          <w:b/>
          <w:bCs/>
        </w:rPr>
        <w:t xml:space="preserve">not</w:t>
      </w:r>
      <w:r>
        <w:t xml:space="preserve"> (it is bulky model output). So the </w:t>
      </w:r>
      <w:r>
        <w:rPr>
          <w:b/>
          <w:bCs/>
        </w:rPr>
        <w:t xml:space="preserve">figures</w:t>
      </w:r>
      <w:r>
        <w:t xml:space="preserve"> rebuild from the shipped CSVs with no GPU, but </w:t>
      </w:r>
      <w:r>
        <w:rPr>
          <w:b/>
          <w:bCs/>
        </w:rPr>
        <w:t xml:space="preserve">re-aggregating the tables</w:t>
      </w:r>
      <w:r>
        <w:t xml:space="preserve"> (step 2) needs </w:t>
      </w:r>
      <w:r>
        <w:rPr>
          <w:rStyle w:val="VerbatimChar"/>
        </w:rPr>
        <w:t xml:space="preserve">results/predictions/</w:t>
      </w:r>
      <w:r>
        <w:t>, which means either the full repo checkout or a re-run of inference (step 4).</w:t>
      </w:r>
    </w:p>
    <w:p>
      <w:pPr>
        <w:pStyle w:val="SourceCode"/>
      </w:pPr>
      <w:r>
        <w:rPr>
          <w:rStyle w:val="CommentTok"/>
        </w:rPr>
        <w:t xml:space="preserve"># 1.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.</w:t>
      </w:r>
      <w:r>
        <w:rPr>
          <w:rStyle w:val="NormalTok"/>
        </w:rPr>
        <w:t xml:space="preserve"> .venv/Scripts/activate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  <w:br/>
      </w:r>
      <w:r>
        <w:rPr>
          <w:rStyle w:val="CommentTok"/>
        </w:rPr>
        <w:t xml:space="preserve"># 2. Re-aggregate tables — needs results/predictions/ (full repo, not the code zip)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scripts/aggregate.py            </w:t>
      </w:r>
      <w:r>
        <w:rPr>
          <w:rStyle w:val="CommentTok"/>
        </w:rPr>
        <w:t xml:space="preserve"># -&gt; results/summary/final_table.csv (sentiment)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scripts/aggregate_ensemble.py   </w:t>
      </w:r>
      <w:r>
        <w:rPr>
          <w:rStyle w:val="CommentTok"/>
        </w:rPr>
        <w:t xml:space="preserve"># -&gt; results/summary/ensemble_table.csv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scripts/aggregate_ner.py        </w:t>
      </w:r>
      <w:r>
        <w:rPr>
          <w:rStyle w:val="CommentTok"/>
        </w:rPr>
        <w:t xml:space="preserve"># -&gt; results/summary_ner/final_table_ner.csv (FiNER-ORD)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scripts/summarize_ner.py        </w:t>
      </w:r>
      <w:r>
        <w:rPr>
          <w:rStyle w:val="CommentTok"/>
        </w:rPr>
        <w:t xml:space="preserve"># -&gt; results/summary/ner_table.csv (FIN/Alvarado)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scripts/bootstrap_ci.py         </w:t>
      </w:r>
      <w:r>
        <w:rPr>
          <w:rStyle w:val="CommentTok"/>
        </w:rPr>
        <w:t xml:space="preserve"># -&gt; results/summary/bootstrap_ci.csv (95% CIs; needs predictions)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scripts/eval_allagree.py        </w:t>
      </w:r>
      <w:r>
        <w:rPr>
          <w:rStyle w:val="CommentTok"/>
        </w:rPr>
        <w:t xml:space="preserve"># no-GPU cross-check (needs predictions): filter 75%-agree to unanimous</w:t>
      </w:r>
      <w:r>
        <w:br/>
        <w:br/>
      </w:r>
      <w:r>
        <w:rPr>
          <w:rStyle w:val="CommentTok"/>
        </w:rPr>
        <w:t xml:space="preserve"># 3. Rebuild every figure — works from the committed CSVs alone (no GPU, no predictions)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scripts/make_ensemble_figures.py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scripts/make_ner_figure.py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scripts/make_agreement_figure.py </w:t>
      </w:r>
      <w:r>
        <w:rPr>
          <w:rStyle w:val="CommentTok"/>
        </w:rPr>
        <w:t xml:space="preserve"># -&gt; agreement_comparison.csv + figure (75% vs 100%)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scripts/tag_errors.py            </w:t>
      </w:r>
      <w:r>
        <w:rPr>
          <w:rStyle w:val="CommentTok"/>
        </w:rPr>
        <w:t xml:space="preserve"># -&gt; error taxonomy in focal_error_sample.csv (needs focal CSV, shipped)</w:t>
      </w:r>
      <w:r>
        <w:br/>
        <w:br/>
      </w:r>
      <w:r>
        <w:rPr>
          <w:rStyle w:val="CommentTok"/>
        </w:rPr>
        <w:t xml:space="preserve"># 4. (Optional) re-run inference on Modal T4 — costs ~$1, needs HF_TOKEN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scripts/run_llm_matrix.py       </w:t>
      </w:r>
      <w:r>
        <w:rPr>
          <w:rStyle w:val="CommentTok"/>
        </w:rPr>
        <w:t xml:space="preserve"># sentiment matrix (budget-guarded)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scripts/run_allagree.py         </w:t>
      </w:r>
      <w:r>
        <w:rPr>
          <w:rStyle w:val="CommentTok"/>
        </w:rPr>
        <w:t xml:space="preserve"># 100%-agreement (AllAgree) matrix -&gt; allagree_table.csv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scripts/run_ner_matrix.py       </w:t>
      </w:r>
      <w:r>
        <w:rPr>
          <w:rStyle w:val="CommentTok"/>
        </w:rPr>
        <w:t xml:space="preserve"># FIN/Alvarado NER</w:t>
      </w:r>
    </w:p>
    <w:p>
      <w:pPr>
        <w:pStyle w:val="FirstParagraph"/>
      </w:pPr>
      <w:r>
        <w:rPr>
          <w:b/>
          <w:bCs/>
        </w:rPr>
        <w:t xml:space="preserve">Environment notes:</w:t>
      </w:r>
      <w:r>
        <w:t xml:space="preserve"> </w:t>
      </w:r>
      <w:r>
        <w:rPr>
          <w:rStyle w:val="VerbatimChar"/>
        </w:rPr>
        <w:t xml:space="preserve">transformers &gt;= 4.50</w:t>
      </w:r>
      <w:r>
        <w:t xml:space="preserve"> and the chat template are required for plutus-8B; Qwen3 needs </w:t>
      </w:r>
      <w:r>
        <w:rPr>
          <w:rStyle w:val="VerbatimChar"/>
        </w:rPr>
        <w:t xml:space="preserve">&gt;= 4.51</w:t>
      </w:r>
      <w:r>
        <w:t xml:space="preserve">. Set </w:t>
      </w:r>
      <w:r>
        <w:rPr>
          <w:rStyle w:val="VerbatimChar"/>
        </w:rPr>
        <w:t xml:space="preserve">HF_TOKEN</w:t>
      </w:r>
      <w:r>
        <w:t xml:space="preserve"> for gated weights. Seed = 42. Total compute for the whole study: </w:t>
      </w:r>
      <w:r>
        <w:rPr>
          <w:b/>
          <w:bCs/>
        </w:rPr>
        <w:t xml:space="preserve">~$1.2</w:t>
      </w:r>
      <w:r>
        <w:t xml:space="preserve"> of Modal T4 time (≈ 120 GPU-minutes, across the sentiment matrix, the 100%-agreement matrix, and both NER tracks).</w:t>
      </w:r>
    </w:p>
    <w:bookmarkEnd w:id="53"/>
    <w:bookmarkStart w:id="54" w:name="appendix-b-datasets-models-and-artifacts"/>
    <w:p>
      <w:pPr>
        <w:pStyle w:val="Heading2"/>
      </w:pPr>
      <w:r>
        <w:t xml:space="preserve">Appendix B — Datasets, models, and artifacts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FPB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financial_phrasebank</w:t>
            </w:r>
            <w:r>
              <w:t xml:space="preserve"> (75%-agree split), 690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FiQA-SA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TheFinAI/fiqa-sentiment-classification</w:t>
            </w:r>
            <w:r>
              <w:t xml:space="preserve">, 1,173 test, ±0.10 neutral band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FiNER-ORD</w:t>
            </w:r>
          </w:p>
        </w:tc>
        <w:tc>
          <w:tcPr/>
          <w:p>
            <w:pPr>
              <w:pStyle w:val="Compact"/>
            </w:pPr>
            <w:r>
              <w:t xml:space="preserve">financial NER, 1,075 test (subsampled)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 / Alvarado-2015</w:t>
            </w:r>
          </w:p>
        </w:tc>
        <w:tc>
          <w:tcPr/>
          <w:p>
            <w:pPr>
              <w:pStyle w:val="Compact"/>
            </w:pPr>
            <w:r>
              <w:t xml:space="preserve">PIXIU </w:t>
            </w:r>
            <w:r>
              <w:rPr>
                <w:rStyle w:val="VerbatimChar"/>
              </w:rPr>
              <w:t xml:space="preserve">TheFinAI/flare-ner</w:t>
            </w:r>
            <w:r>
              <w:t xml:space="preserve">, 98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under 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TheFinAI/plutus-8B-instruct</w:t>
            </w:r>
            <w:r>
              <w:t xml:space="preserve"> (substitute for </w:t>
            </w:r>
            <w:r>
              <w:rPr>
                <w:rStyle w:val="VerbatimChar"/>
              </w:rPr>
              <w:t xml:space="preserve">FinLLaMA-instruct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LLMs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mistralai/Mistral-7B-Instruct-v0.3</w:t>
            </w:r>
            <w:r>
              <w:t xml:space="preserve">, </w:t>
            </w:r>
            <w:r>
              <w:rPr>
                <w:rStyle w:val="VerbatimChar"/>
              </w:rPr>
              <w:t xml:space="preserve">Qwen/Qwen2.5-7B-Instruct</w:t>
            </w:r>
            <w:r>
              <w:t xml:space="preserve">, </w:t>
            </w:r>
            <w:r>
              <w:rPr>
                <w:rStyle w:val="VerbatimChar"/>
              </w:rPr>
              <w:t xml:space="preserve">Qwen/Qwen3-8B</w:t>
            </w:r>
            <w:r>
              <w:t xml:space="preserve">, </w:t>
            </w:r>
            <w:r>
              <w:rPr>
                <w:rStyle w:val="VerbatimChar"/>
              </w:rPr>
              <w:t xml:space="preserve">Qwen/Qwen3-4B-Instruct-2507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Classifiers / lexicon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ProsusAI/finbert</w:t>
            </w:r>
            <w:r>
              <w:t xml:space="preserve">, </w:t>
            </w:r>
            <w:r>
              <w:rPr>
                <w:rStyle w:val="VerbatimChar"/>
              </w:rPr>
              <w:t xml:space="preserve">yiyanghkust/finbert-tone</w:t>
            </w:r>
            <w:r>
              <w:t xml:space="preserve">, VADER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NER specialists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urchade/gliner_small-v2.1</w:t>
            </w:r>
            <w:r>
              <w:t xml:space="preserve">, </w:t>
            </w:r>
            <w:r>
              <w:rPr>
                <w:rStyle w:val="VerbatimChar"/>
              </w:rPr>
              <w:t xml:space="preserve">urchade/gliner_large-v2.1</w:t>
            </w:r>
          </w:p>
        </w:tc>
      </w:tr>
    </w:tbl>
    <w:bookmarkEnd w:id="54"/>
    <w:bookmarkStart w:id="5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Open-FinLLMs: Open Multimodal Large Language Models for Financial Applications.</w:t>
      </w:r>
    </w:p>
    <w:p>
      <w:pPr>
        <w:pStyle w:val="Compact"/>
        <w:numPr>
          <w:ilvl w:val="0"/>
          <w:numId w:val="1013"/>
        </w:numPr>
      </w:pPr>
      <w:r>
        <w:t xml:space="preserve">Malo et al., </w:t>
      </w:r>
      <w:r>
        <w:rPr>
          <w:i/>
          <w:iCs/>
        </w:rPr>
        <w:t xml:space="preserve">Good Debt or Bad Debt: Financial PhraseBank.</w:t>
      </w:r>
    </w:p>
    <w:p>
      <w:pPr>
        <w:pStyle w:val="Compact"/>
        <w:numPr>
          <w:ilvl w:val="0"/>
          <w:numId w:val="1013"/>
        </w:numPr>
      </w:pPr>
      <w:r>
        <w:rPr>
          <w:i/>
          <w:iCs/>
        </w:rPr>
        <w:t xml:space="preserve">FiQA 2018</w:t>
      </w:r>
      <w:r>
        <w:t xml:space="preserve"> — Financial Opinion Mining and Question Answering.</w:t>
      </w:r>
    </w:p>
    <w:p>
      <w:pPr>
        <w:pStyle w:val="Compact"/>
        <w:numPr>
          <w:ilvl w:val="0"/>
          <w:numId w:val="1013"/>
        </w:numPr>
      </w:pPr>
      <w:r>
        <w:t xml:space="preserve">Shah et al., </w:t>
      </w:r>
      <w:r>
        <w:rPr>
          <w:i/>
          <w:iCs/>
        </w:rPr>
        <w:t xml:space="preserve">FiNER-ORD: Financial NER</w:t>
      </w:r>
      <w:r>
        <w:t xml:space="preserve">; Alvarado et al., 2015 (FIN).</w:t>
      </w:r>
    </w:p>
    <w:p>
      <w:pPr>
        <w:pStyle w:val="Compact"/>
        <w:numPr>
          <w:ilvl w:val="0"/>
          <w:numId w:val="1013"/>
        </w:numPr>
      </w:pPr>
      <w:r>
        <w:t xml:space="preserve">Araci, </w:t>
      </w:r>
      <w:r>
        <w:rPr>
          <w:i/>
          <w:iCs/>
        </w:rPr>
        <w:t xml:space="preserve">FinBERT</w:t>
      </w:r>
      <w:r>
        <w:t xml:space="preserve">; Yang et al., </w:t>
      </w:r>
      <w:r>
        <w:rPr>
          <w:i/>
          <w:iCs/>
        </w:rPr>
        <w:t xml:space="preserve">FinBERT-tone</w:t>
      </w:r>
      <w:r>
        <w:t xml:space="preserve">; Hutto &amp; Gilbert, </w:t>
      </w:r>
      <w:r>
        <w:rPr>
          <w:i/>
          <w:iCs/>
        </w:rPr>
        <w:t xml:space="preserve">VADER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Zaratiana et al., </w:t>
      </w:r>
      <w:r>
        <w:rPr>
          <w:i/>
          <w:iCs/>
        </w:rPr>
        <w:t xml:space="preserve">GLiNER</w:t>
      </w:r>
      <w:r>
        <w:t xml:space="preserve">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/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/><Relationship Type="http://schemas.openxmlformats.org/officeDocument/2006/relationships/styles" Id="rId7" Target="styles.xml"/><Relationship Type="http://schemas.openxmlformats.org/officeDocument/2006/relationships/settings" Id="rId6" Target="settings.xml"/><Relationship Type="http://schemas.openxmlformats.org/officeDocument/2006/relationships/webSettings" Id="rId5" Target="webSettings.xml"/><Relationship Type="http://schemas.openxmlformats.org/officeDocument/2006/relationships/fontTable" Id="rId4" Target="fontTable.xml"/><Relationship Type="http://schemas.openxmlformats.org/officeDocument/2006/relationships/theme" Id="rId3" Target="theme/theme1.xml"/><Relationship Type="http://schemas.openxmlformats.org/officeDocument/2006/relationships/footnotes" Id="rId2" Target="footnotes.xml"/><Relationship Type="http://schemas.openxmlformats.org/officeDocument/2006/relationships/comments" Id="rId1" Target="comments.xml"/><Relationship Type="http://schemas.openxmlformats.org/officeDocument/2006/relationships/image" Id="rId34" Target="media/rId34.png"/><Relationship Type="http://schemas.openxmlformats.org/officeDocument/2006/relationships/image" Id="rId43" Target="media/rId43.png"/><Relationship Type="http://schemas.openxmlformats.org/officeDocument/2006/relationships/image" Id="rId19" Target="media/rId19.png"/><Relationship Type="http://schemas.openxmlformats.org/officeDocument/2006/relationships/image" Id="rId30" Target="media/rId30.png"/><Relationship Type="http://schemas.openxmlformats.org/officeDocument/2006/relationships/image" Id="rId27" Target="media/rId27.png"/><Relationship Type="http://schemas.openxmlformats.org/officeDocument/2006/relationships/image" Id="rId16" Target="media/rId16.png"/><Relationship Type="http://schemas.openxmlformats.org/officeDocument/2006/relationships/image" Id="rId23" Target="media/rId23.png"/><Relationship Type="http://schemas.openxmlformats.org/officeDocument/2006/relationships/image" Id="rId39" Target="media/rId39.png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Does Financial Instruction Tuning Actually Help?</dc:title>
  <dc:creator>LLMs in Finance Seminar</dc:creator>
  <cp:keywords/>
  <dcterms:created xsi:type="dcterms:W3CDTF">2026-06-25T20:12:00Z</dcterms:created>
  <dcterms:modified xsi:type="dcterms:W3CDTF">2026-06-25T20:12:00Z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An Implementation Report Reproducing Open-FinLLMs on Sentiment and NER</vt:lpwstr>
  </property>
</Properties>
</file>