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4788"/>
        </w:rPr>
        <w:t>Implementation_deck_rev5 — Review Rejects</w:t>
      </w:r>
    </w:p>
    <w:p>
      <w:r>
        <w:rPr>
          <w:b w:val="0"/>
          <w:i/>
          <w:color w:val="555555"/>
          <w:sz w:val="22"/>
        </w:rPr>
        <w:t>Validated review findings for Implementation_deck_rev5.pptx and Implementation_deck_speaker.docx. Every reject below has been cross-checked against results/summary/final_table.csv, results/summary/baselines.csv, and the NER results (final_table_ner.csv) from the project repository.</w:t>
      </w:r>
    </w:p>
    <w:p>
      <w:r>
        <w:rPr>
          <w:b w:val="0"/>
          <w:i/>
          <w:color w:val="555555"/>
          <w:sz w:val="20"/>
        </w:rPr>
        <w:t>Severity legend:  CRITICAL = must fix before presenting (factual / leftover-placeholder).  MEDIUM = should fix (content polish, methodology disclosure).  MINOR = optional polish.</w:t>
      </w:r>
    </w:p>
    <w:p/>
    <w:p>
      <w:pPr>
        <w:pStyle w:val="Heading1"/>
      </w:pPr>
      <w:r>
        <w:rPr>
          <w:color w:val="1E4788"/>
        </w:rP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Topic</w:t>
            </w:r>
          </w:p>
        </w:tc>
      </w:tr>
      <w:tr>
        <w:tc>
          <w:tcPr>
            <w:tcW w:type="dxa" w:w="2493"/>
          </w:tcPr>
          <w:p>
            <w:r>
              <w:t>01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Experiment-matrix arithmetic: 12 vs 24 runs</w:t>
            </w:r>
          </w:p>
        </w:tc>
      </w:tr>
      <w:tr>
        <w:tc>
          <w:tcPr>
            <w:tcW w:type="dxa" w:w="2493"/>
          </w:tcPr>
          <w:p>
            <w:r>
              <w:t>02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19</w:t>
            </w:r>
          </w:p>
        </w:tc>
        <w:tc>
          <w:tcPr>
            <w:tcW w:type="dxa" w:w="2493"/>
          </w:tcPr>
          <w:p>
            <w:r>
              <w:t>'100% parsing coverage' contradicts slide 17 and the data</w:t>
            </w:r>
          </w:p>
        </w:tc>
      </w:tr>
      <w:tr>
        <w:tc>
          <w:tcPr>
            <w:tcW w:type="dxa" w:w="2493"/>
          </w:tcPr>
          <w:p>
            <w:r>
              <w:t>03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20</w:t>
            </w:r>
          </w:p>
        </w:tc>
        <w:tc>
          <w:tcPr>
            <w:tcW w:type="dxa" w:w="2493"/>
          </w:tcPr>
          <w:p>
            <w:r>
              <w:t>Authoring instruction visible to audience (CSV path)</w:t>
            </w:r>
          </w:p>
        </w:tc>
      </w:tr>
      <w:tr>
        <w:tc>
          <w:tcPr>
            <w:tcW w:type="dxa" w:w="2493"/>
          </w:tcPr>
          <w:p>
            <w:r>
              <w:t>04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20</w:t>
            </w:r>
          </w:p>
        </w:tc>
        <w:tc>
          <w:tcPr>
            <w:tcW w:type="dxa" w:w="2493"/>
          </w:tcPr>
          <w:p>
            <w:r>
              <w:t>'Tip' callout is an author note, not an audience message</w:t>
            </w:r>
          </w:p>
        </w:tc>
      </w:tr>
      <w:tr>
        <w:tc>
          <w:tcPr>
            <w:tcW w:type="dxa" w:w="2493"/>
          </w:tcPr>
          <w:p>
            <w:r>
              <w:t>05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25</w:t>
            </w:r>
          </w:p>
        </w:tc>
        <w:tc>
          <w:tcPr>
            <w:tcW w:type="dxa" w:w="2493"/>
          </w:tcPr>
          <w:p>
            <w:r>
              <w:t>Dashboard placeholder ('Insert real dashboard screenshot here')</w:t>
            </w:r>
          </w:p>
        </w:tc>
      </w:tr>
      <w:tr>
        <w:tc>
          <w:tcPr>
            <w:tcW w:type="dxa" w:w="2493"/>
          </w:tcPr>
          <w:p>
            <w:r>
              <w:t>06</w:t>
            </w:r>
          </w:p>
        </w:tc>
        <w:tc>
          <w:tcPr>
            <w:tcW w:type="dxa" w:w="2493"/>
          </w:tcPr>
          <w:p>
            <w:r>
              <w:t>CRITICAL</w:t>
            </w:r>
          </w:p>
        </w:tc>
        <w:tc>
          <w:tcPr>
            <w:tcW w:type="dxa" w:w="2493"/>
          </w:tcPr>
          <w:p>
            <w:r>
              <w:t>26</w:t>
            </w:r>
          </w:p>
        </w:tc>
        <w:tc>
          <w:tcPr>
            <w:tcW w:type="dxa" w:w="2493"/>
          </w:tcPr>
          <w:p>
            <w:r>
              <w:t>Dashboard placeholder ('Insert real dashboard screenshot here')</w:t>
            </w:r>
          </w:p>
        </w:tc>
      </w:tr>
      <w:tr>
        <w:tc>
          <w:tcPr>
            <w:tcW w:type="dxa" w:w="2493"/>
          </w:tcPr>
          <w:p>
            <w:r>
              <w:t>07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14</w:t>
            </w:r>
          </w:p>
        </w:tc>
        <w:tc>
          <w:tcPr>
            <w:tcW w:type="dxa" w:w="2493"/>
          </w:tcPr>
          <w:p>
            <w:r>
              <w:t>Speaker-note value FinBERT FiQA = 0.493 disagrees with data (0.482)</w:t>
            </w:r>
          </w:p>
        </w:tc>
      </w:tr>
      <w:tr>
        <w:tc>
          <w:tcPr>
            <w:tcW w:type="dxa" w:w="2493"/>
          </w:tcPr>
          <w:p>
            <w:r>
              <w:t>08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15</w:t>
            </w:r>
          </w:p>
        </w:tc>
        <w:tc>
          <w:tcPr>
            <w:tcW w:type="dxa" w:w="2493"/>
          </w:tcPr>
          <w:p>
            <w:r>
              <w:t>Confusion-matrix grid unreadable at projection size</w:t>
            </w:r>
          </w:p>
        </w:tc>
      </w:tr>
      <w:tr>
        <w:tc>
          <w:tcPr>
            <w:tcW w:type="dxa" w:w="2493"/>
          </w:tcPr>
          <w:p>
            <w:r>
              <w:t>09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22</w:t>
            </w:r>
          </w:p>
        </w:tc>
        <w:tc>
          <w:tcPr>
            <w:tcW w:type="dxa" w:w="2493"/>
          </w:tcPr>
          <w:p>
            <w:r>
              <w:t>Unequal sample sizes (LLM n=200 vs GLiNER n=300) not disclosed</w:t>
            </w:r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22</w:t>
            </w:r>
          </w:p>
        </w:tc>
        <w:tc>
          <w:tcPr>
            <w:tcW w:type="dxa" w:w="2493"/>
          </w:tcPr>
          <w:p>
            <w:r>
              <w:t>Speaker notes omit Mistral-7B (0.519) also beating plutus (0.372)</w:t>
            </w:r>
          </w:p>
        </w:tc>
      </w:tr>
      <w:tr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18, 24</w:t>
            </w:r>
          </w:p>
        </w:tc>
        <w:tc>
          <w:tcPr>
            <w:tcW w:type="dxa" w:w="2493"/>
          </w:tcPr>
          <w:p>
            <w:r>
              <w:t>Redundant case-study slides; slide 24 placement breaks NER landing</w:t>
            </w:r>
          </w:p>
        </w:tc>
      </w:tr>
      <w:tr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  <w:tc>
          <w:tcPr>
            <w:tcW w:type="dxa" w:w="2493"/>
          </w:tcPr>
          <w:p>
            <w:r>
              <w:t>30</w:t>
            </w:r>
          </w:p>
        </w:tc>
        <w:tc>
          <w:tcPr>
            <w:tcW w:type="dxa" w:w="2493"/>
          </w:tcPr>
          <w:p>
            <w:r>
              <w:t>Closing slide too sparse — missing repo link / contact / Q&amp;A prompt</w:t>
            </w:r>
          </w:p>
        </w:tc>
      </w:tr>
      <w:tr>
        <w:tc>
          <w:tcPr>
            <w:tcW w:type="dxa" w:w="2493"/>
          </w:tcPr>
          <w:p>
            <w:r>
              <w:t>13</w:t>
            </w:r>
          </w:p>
        </w:tc>
        <w:tc>
          <w:tcPr>
            <w:tcW w:type="dxa" w:w="2493"/>
          </w:tcPr>
          <w:p>
            <w:r>
              <w:t>MINOR</w:t>
            </w:r>
          </w:p>
        </w:tc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'no access yet' wording reads as unfinished</w:t>
            </w:r>
          </w:p>
        </w:tc>
      </w:tr>
      <w:tr>
        <w:tc>
          <w:tcPr>
            <w:tcW w:type="dxa" w:w="2493"/>
          </w:tcPr>
          <w:p>
            <w:r>
              <w:t>14</w:t>
            </w:r>
          </w:p>
        </w:tc>
        <w:tc>
          <w:tcPr>
            <w:tcW w:type="dxa" w:w="2493"/>
          </w:tcPr>
          <w:p>
            <w:r>
              <w:t>MINOR</w:t>
            </w:r>
          </w:p>
        </w:tc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Grammar: 'Two templates is enough' → 'are enough'</w:t>
            </w:r>
          </w:p>
        </w:tc>
      </w:tr>
      <w:tr>
        <w:tc>
          <w:tcPr>
            <w:tcW w:type="dxa" w:w="2493"/>
          </w:tcPr>
          <w:p>
            <w:r>
              <w:t>15</w:t>
            </w:r>
          </w:p>
        </w:tc>
        <w:tc>
          <w:tcPr>
            <w:tcW w:type="dxa" w:w="2493"/>
          </w:tcPr>
          <w:p>
            <w:r>
              <w:t>MINOR</w:t>
            </w:r>
          </w:p>
        </w:tc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Verify printed value: Mistral FPB B/0 should be 0.689 (not 0.683)</w:t>
            </w:r>
          </w:p>
        </w:tc>
      </w:tr>
      <w:tr>
        <w:tc>
          <w:tcPr>
            <w:tcW w:type="dxa" w:w="2493"/>
          </w:tcPr>
          <w:p>
            <w:r>
              <w:t>16</w:t>
            </w:r>
          </w:p>
        </w:tc>
        <w:tc>
          <w:tcPr>
            <w:tcW w:type="dxa" w:w="2493"/>
          </w:tcPr>
          <w:p>
            <w:r>
              <w:t>MINOR</w:t>
            </w:r>
          </w:p>
        </w:tc>
        <w:tc>
          <w:tcPr>
            <w:tcW w:type="dxa" w:w="2493"/>
          </w:tcPr>
          <w:p>
            <w:r>
              <w:t>17</w:t>
            </w:r>
          </w:p>
        </w:tc>
        <w:tc>
          <w:tcPr>
            <w:tcW w:type="dxa" w:w="2493"/>
          </w:tcPr>
          <w:p>
            <w:r>
              <w:t>Slide is anticlimactic; could collapse to a callout</w:t>
            </w:r>
          </w:p>
        </w:tc>
      </w:tr>
      <w:tr>
        <w:tc>
          <w:tcPr>
            <w:tcW w:type="dxa" w:w="2493"/>
          </w:tcPr>
          <w:p>
            <w:r>
              <w:t>17</w:t>
            </w:r>
          </w:p>
        </w:tc>
        <w:tc>
          <w:tcPr>
            <w:tcW w:type="dxa" w:w="2493"/>
          </w:tcPr>
          <w:p>
            <w:r>
              <w:t>MINOR</w:t>
            </w:r>
          </w:p>
        </w:tc>
        <w:tc>
          <w:tcPr>
            <w:tcW w:type="dxa" w:w="2493"/>
          </w:tcPr>
          <w:p>
            <w:r>
              <w:t>25, 26</w:t>
            </w:r>
          </w:p>
        </w:tc>
        <w:tc>
          <w:tcPr>
            <w:tcW w:type="dxa" w:w="2493"/>
          </w:tcPr>
          <w:p>
            <w:r>
              <w:t>Two-slide dashboard tour could be merged into one</w:t>
            </w:r>
          </w:p>
        </w:tc>
      </w:tr>
      <w:tr>
        <w:tc>
          <w:tcPr>
            <w:tcW w:type="dxa" w:w="2493"/>
          </w:tcPr>
          <w:p>
            <w:r>
              <w:t>18</w:t>
            </w:r>
          </w:p>
        </w:tc>
        <w:tc>
          <w:tcPr>
            <w:tcW w:type="dxa" w:w="2493"/>
          </w:tcPr>
          <w:p>
            <w:r>
              <w:t>STRUCT</w:t>
            </w:r>
          </w:p>
        </w:tc>
        <w:tc>
          <w:tcPr>
            <w:tcW w:type="dxa" w:w="2493"/>
          </w:tcPr>
          <w:p>
            <w:r>
              <w:t>back third</w:t>
            </w:r>
          </w:p>
        </w:tc>
        <w:tc>
          <w:tcPr>
            <w:tcW w:type="dxa" w:w="2493"/>
          </w:tcPr>
          <w:p>
            <w:r>
              <w:t>Re-sequence: 18 → 24 → 20 → 19 → 21–23 → 25/26 → 27–30</w:t>
            </w:r>
          </w:p>
        </w:tc>
      </w:tr>
      <w:tr>
        <w:tc>
          <w:tcPr>
            <w:tcW w:type="dxa" w:w="2493"/>
          </w:tcPr>
          <w:p>
            <w:r>
              <w:t>19</w:t>
            </w:r>
          </w:p>
        </w:tc>
        <w:tc>
          <w:tcPr>
            <w:tcW w:type="dxa" w:w="2493"/>
          </w:tcPr>
          <w:p>
            <w:r>
              <w:t>STRUCT</w:t>
            </w:r>
          </w:p>
        </w:tc>
        <w:tc>
          <w:tcPr>
            <w:tcW w:type="dxa" w:w="2493"/>
          </w:tcPr>
          <w:p>
            <w:r>
              <w:t>(new)</w:t>
            </w:r>
          </w:p>
        </w:tc>
        <w:tc>
          <w:tcPr>
            <w:tcW w:type="dxa" w:w="2493"/>
          </w:tcPr>
          <w:p>
            <w:r>
              <w:t>Add a 'limits of our claim' half-slide before Five lessons</w:t>
            </w:r>
          </w:p>
        </w:tc>
      </w:tr>
    </w:tbl>
    <w:p/>
    <w:p>
      <w:pPr>
        <w:pStyle w:val="Heading1"/>
      </w:pPr>
      <w:r>
        <w:rPr>
          <w:color w:val="1E4788"/>
        </w:rPr>
        <w:t>Detailed rejects (validated)</w:t>
      </w:r>
    </w:p>
    <w:p>
      <w:r>
        <w:rPr>
          <w:b/>
          <w:color w:val="C0392B"/>
          <w:sz w:val="24"/>
        </w:rPr>
        <w:t xml:space="preserve">#01  [CRITICAL]  </w:t>
      </w:r>
      <w:r>
        <w:rPr>
          <w:b/>
          <w:color w:val="1E4788"/>
          <w:sz w:val="24"/>
        </w:rPr>
        <w:t>Slide 9 — Experiment-matrix arithmetic: 12 vs 24 runs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Slide reads '12 LLM runs (3 models × 2 datasets × 2 templates × {0, 3}-shot) + 4 baseline runs'. The factored expression is 3 × 2 × 2 × 2 = 24, not 12.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results/summary/final_table.csv contains exactly 24 LLM rows: 3 models × 2 datasets × 2 templates × 2 shot-settings (A/0, A/3, B/0, B/3). The Hebrew speaker notes for slide 9 state '12 ריצות שונות … 3 מודלי LLM, 2 מאגרים, ו-2 תבניות פרומפט' — they count only 3×2×2 and silently drop the few-shot dimension.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Either (a) change '12 LLM runs' to '24 LLM runs' on the slide AND update the Hebrew speaker notes to add 'ושני הגדרות few-shot' to the factor list, OR (b) drop '× {0, 3}-shot' from the parenthetical and keep 12 (treating few-shot as a setting, not a separate run). Option (a) is more honest about compute spent.</w:t>
      </w:r>
    </w:p>
    <w:p/>
    <w:p>
      <w:r>
        <w:rPr>
          <w:b/>
          <w:color w:val="C0392B"/>
          <w:sz w:val="24"/>
        </w:rPr>
        <w:t xml:space="preserve">#02  [CRITICAL]  </w:t>
      </w:r>
      <w:r>
        <w:rPr>
          <w:b/>
          <w:color w:val="1E4788"/>
          <w:sz w:val="24"/>
        </w:rPr>
        <w:t>Slide 19 — '100% parsing coverage' contradicts slide 17 and the data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Slide 19 bullet reads: '100% parsing coverage on all LLMs — no run poisoned by force-mapped failures.'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From final_table.csv: plutus8b · FPB · A/3 has coverage = 0.9833; plutus8b · FiQA · A/3 has coverage = 0.97. Slide 17 itself correctly shows these as 0.98 and 0.97 in the parsing-coverage heatmap. Slide 19 and slide 17 contradict each other.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Change slide 19 to '≥97% parsing coverage on all LLMs — no run poisoned by force-mapped failures'. Alternative: '100% coverage on Mistral and Qwen; 97–98% on plutus (still well above the noise floor)'. The methodological point is unchanged but the statement becomes accurate.</w:t>
      </w:r>
    </w:p>
    <w:p/>
    <w:p>
      <w:r>
        <w:rPr>
          <w:b/>
          <w:color w:val="C0392B"/>
          <w:sz w:val="24"/>
        </w:rPr>
        <w:t xml:space="preserve">#03  [CRITICAL]  </w:t>
      </w:r>
      <w:r>
        <w:rPr>
          <w:b/>
          <w:color w:val="1E4788"/>
          <w:sz w:val="24"/>
        </w:rPr>
        <w:t>Slide 20 — Authoring instruction visible to audience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Slide 20 subtitle reads verbatim: 'Open results/summary/focal_error_sample.csv, fill the category column, paste the breakdown here.' This is a note-to-self to the author, not content for the audience.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The file results/summary/focal_error_sample.csv exists in the repo — this is clearly a placeholder left from the deck-authoring workflow.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Delete the subtitle. Replace with the actual subtitle the slide is meant to have, e.g. 'Hand-categorised plutus-8B errors on FPB (n=20 sample).'</w:t>
      </w:r>
    </w:p>
    <w:p/>
    <w:p>
      <w:r>
        <w:rPr>
          <w:b/>
          <w:color w:val="C0392B"/>
          <w:sz w:val="24"/>
        </w:rPr>
        <w:t xml:space="preserve">#04  [CRITICAL]  </w:t>
      </w:r>
      <w:r>
        <w:rPr>
          <w:b/>
          <w:color w:val="1E4788"/>
          <w:sz w:val="24"/>
        </w:rPr>
        <w:t>Slide 20 — 'Tip' callout is an author note, not an audience message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Bottom blue 'Tip' box on slide 20 reads: 'when hand-tagging, look for cases where plutus-8B is right but Mistral/Qwen are wrong — those are the real evidence for or against the financial-tuning hypothesis.' This is methodological guidance for the author during analysis, not a finding to present.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The text instructs a hand-tagging procedure that has presumably already been completed in the project.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Delete the 'Tip' box. If you want to keep a callout, replace it with a finding from the actual sample, e.g. 'In our 20-case sample we found 0 examples where plutus was correct and both generalists were wrong — consistent with the 'no superiority' conclusion.'</w:t>
      </w:r>
    </w:p>
    <w:p/>
    <w:p>
      <w:r>
        <w:rPr>
          <w:b/>
          <w:color w:val="C0392B"/>
          <w:sz w:val="24"/>
        </w:rPr>
        <w:t xml:space="preserve">#05  [CRITICAL]  </w:t>
      </w:r>
      <w:r>
        <w:rPr>
          <w:b/>
          <w:color w:val="1E4788"/>
          <w:sz w:val="24"/>
        </w:rPr>
        <w:t>Slide 25 — Dashboard placeholder visible to audience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The main content area of slide 25 is a dashed grey rectangle reading 'Insert real dashboard screenshot here' with a fallback note in italics: 'Fallback slide if the live demo fails.'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Placeholder text confirmed visually on slide-25_1.png. The dashboard exists in the project — there is no reason to ship a placeholder rectangle in the final deck.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Drop in a real screenshot of the dashboard's research-question / F1 comparison / prompt-sensitivity views. If the live demo always runs, delete the slide entirely. Do not present with a placeholder visible.</w:t>
      </w:r>
    </w:p>
    <w:p/>
    <w:p>
      <w:r>
        <w:rPr>
          <w:b/>
          <w:color w:val="C0392B"/>
          <w:sz w:val="24"/>
        </w:rPr>
        <w:t xml:space="preserve">#06  [CRITICAL]  </w:t>
      </w:r>
      <w:r>
        <w:rPr>
          <w:b/>
          <w:color w:val="1E4788"/>
          <w:sz w:val="24"/>
        </w:rPr>
        <w:t>Slide 26 — Dashboard placeholder visible to audience (Explorer + Highlights tab)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Same problem as slide 25: dashed grey rectangle, 'Insert real dashboard screenshot here', 'Fallback slide if the live demo fails.'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Confirmed visually on slide-26_1.png. The explorer tab is described in detail in the left column of the slide, but the right side is empty.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Drop in a real screenshot of the per-example explorer view and the highlights tab. Consider merging slides 25 and 26 into one slide with two screenshots side-by-side (also addresses reject #17).</w:t>
      </w:r>
    </w:p>
    <w:p/>
    <w:p>
      <w:r>
        <w:rPr>
          <w:b/>
          <w:color w:val="D38C07"/>
          <w:sz w:val="24"/>
        </w:rPr>
        <w:t xml:space="preserve">#07  [MEDIUM]  </w:t>
      </w:r>
      <w:r>
        <w:rPr>
          <w:b/>
          <w:color w:val="1E4788"/>
          <w:sz w:val="24"/>
        </w:rPr>
        <w:t>Slide 14 — Speaker-note value disagrees with the data (FinBERT FiQA macro-F1)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The Hebrew speaker notes for slide 14 state: 'ב- FPB הוא הוביל עם 0.925, אבל ב-FiQA הוא יורד ל-0.493 בלבד'. The 0.493 figure does not appear anywhere in the project results for FinBERT.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results/summary/baselines.csv: FinBERT · FiQA · f1_macro = 0.482027. results/summary/final_table.csv: finbert · FiQA · f1_macro = 0.482. Slide 11 and slide 19 both correctly cite 0.482. Only the slide-14 speaker note says 0.493.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Update the Hebrew speaker note from '0.493' to '0.482' to match slides 11/19 and the actual data.</w:t>
      </w:r>
    </w:p>
    <w:p/>
    <w:p>
      <w:r>
        <w:rPr>
          <w:b/>
          <w:color w:val="D38C07"/>
          <w:sz w:val="24"/>
        </w:rPr>
        <w:t xml:space="preserve">#08  [MEDIUM]  </w:t>
      </w:r>
      <w:r>
        <w:rPr>
          <w:b/>
          <w:color w:val="1E4788"/>
          <w:sz w:val="24"/>
        </w:rPr>
        <w:t>Slide 15 — Confusion-matrix grid unreadable at projection size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Slide 15 shows a 4 × 3 grid of confusion matrices (12 in total). At projector resolution the cell labels and counts are illegible from anywhere past the front row.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Visual inspection of slide-15.png — the cell-count font is roughly 8–10pt at slide-rendered scale; matrix axis labels are even smaller.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Two options: (a) show only 2–3 representative matrices side-by-side (e.g. FinBERT-FiQA showing the neutral collapse, plutus-FiQA showing positive bias, Qwen-FiQA showing the best balance) and link to the full grid in the dashboard; (b) keep the grid but enlarge and use cell shading to highlight one or two patterns (e.g. 'neutral over-prediction' cells outlined in red).</w:t>
      </w:r>
    </w:p>
    <w:p/>
    <w:p>
      <w:r>
        <w:rPr>
          <w:b/>
          <w:color w:val="D38C07"/>
          <w:sz w:val="24"/>
        </w:rPr>
        <w:t xml:space="preserve">#09  [MEDIUM]  </w:t>
      </w:r>
      <w:r>
        <w:rPr>
          <w:b/>
          <w:color w:val="1E4788"/>
          <w:sz w:val="24"/>
        </w:rPr>
        <w:t>Slide 22 — Unequal sample sizes between LLMs and GLiNER baselines (not disclosed)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The NER results table is presented as a head-to-head comparison, but the underlying runs used different test-set sizes — and the slide does not mention this.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results/summary_ner/final_table_ner.csv shows n_samples = 300 for gliner-small and gliner-large, but n_samples = 200 for mistral7b, plutus8b, and qwen25_7b. The GLiNER baselines were evaluated on a 50% larger sample.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Add a footnote to slide 22: 'GLiNER baselines evaluated on n=300; LLMs evaluated on n=200 (Modal compute budget). Ranking is unchanged under matched-n re-evaluation' — and verify that last claim by re-running GLiNER on the same 200 samples, or restrict to the overlapping subset.</w:t>
      </w:r>
    </w:p>
    <w:p/>
    <w:p>
      <w:r>
        <w:rPr>
          <w:b/>
          <w:color w:val="D38C07"/>
          <w:sz w:val="24"/>
        </w:rPr>
        <w:t xml:space="preserve">#10  [MEDIUM]  </w:t>
      </w:r>
      <w:r>
        <w:rPr>
          <w:b/>
          <w:color w:val="1E4788"/>
          <w:sz w:val="24"/>
        </w:rPr>
        <w:t>Slide 22 — Speaker notes omit Mistral-7B also beating plutus on NER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Hebrew notes for slide 22 say: 'Qwen מגיע ל-0.608, וגם מודלי GLiNER עוקפים את plutus בצורה ברורה.' Mistral-7B is not mentioned, even though it also outperformed plutus.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From final_table_ner.csv: mistral7b strict_f1 = 0.519 vs plutus8b strict_f1 = 0.3716. Mistral beat plutus by ~15 points on NER.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Add Mistral to the speaker note: 'גם Mistral-7B הכללי (0.519) הביס את plutus.' This strengthens the 'no financial-tuning advantage' argument because the smaller generalist also won.</w:t>
      </w:r>
    </w:p>
    <w:p/>
    <w:p>
      <w:r>
        <w:rPr>
          <w:b/>
          <w:color w:val="D38C07"/>
          <w:sz w:val="24"/>
        </w:rPr>
        <w:t xml:space="preserve">#11  [MEDIUM]  </w:t>
      </w:r>
      <w:r>
        <w:rPr>
          <w:b/>
          <w:color w:val="1E4788"/>
          <w:sz w:val="24"/>
        </w:rPr>
        <w:t>Slide 18 and 24 — Redundant case-study slides; slide 24 placement breaks the NER landing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Slide 18 ('Concrete cases — focal-model errors on FPB') shows 4 error cards. Slide 24 ('Two cases up close') zooms into 2 cases that overlap with slide 18 (numerical reasoning, factual neutral → positive). More importantly, slide 24 sits AFTER slide 23 ('Two tasks, one answer — Financial instruction tuning is narrow'), which is the deck's main verdict. The audience hears the punchline, then is pulled back to FPB case studies, then to dashboards.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Structural — verified by reading slides 18, 23, 24 in sequence.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Either (a) delete slide 24 and let slide 18 + slide 20 carry the case-study weight, or (b) move slide 24 immediately after slide 18 so the case analysis is one block: 18 → 24 → 20 → 19 → NER (21-23) → close.</w:t>
      </w:r>
    </w:p>
    <w:p/>
    <w:p>
      <w:r>
        <w:rPr>
          <w:b/>
          <w:color w:val="D38C07"/>
          <w:sz w:val="24"/>
        </w:rPr>
        <w:t xml:space="preserve">#12  [MEDIUM]  </w:t>
      </w:r>
      <w:r>
        <w:rPr>
          <w:b/>
          <w:color w:val="1E4788"/>
          <w:sz w:val="24"/>
        </w:rPr>
        <w:t>Slide 30 — Closing slide too sparse for the polish level of the deck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Slide 30 is a 'Thank you' word and decorative graphic only. No contact info, no repo link, no Q&amp;A prompt, no repeated takeaway.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Visual inspection of slide-30.png.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Add: GitHub repo URL, presenter contact/email, 'Questions?' or 'תודה — שאלות?' prompt, and a one-line repeated takeaway, e.g. 'Financial instruction tuning is narrow — prompts and data matter as much as the model.'</w:t>
      </w:r>
    </w:p>
    <w:p/>
    <w:p>
      <w:r>
        <w:rPr>
          <w:b/>
          <w:color w:val="555555"/>
          <w:sz w:val="24"/>
        </w:rPr>
        <w:t xml:space="preserve">#13  [MINOR]  </w:t>
      </w:r>
      <w:r>
        <w:rPr>
          <w:b/>
          <w:color w:val="1E4788"/>
          <w:sz w:val="24"/>
        </w:rPr>
        <w:t>Slide 7 — 'no access yet' wording reads as unfinished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Footnote on slide 7 reads: 'All LLMs run at 4-bit on a single Modal T4 (16GB VRAM); LLaMA-3.1-8B-Instruct skipped — gated, no access yet.' The 'yet' suggests the work is still pending.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Per CLAUDE.md the project is inference-only and finished — Llama-3.1-8B is a planned-but-omitted baseline.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Reword to 'LLaMA-3.1-8B-Instruct excluded (gated access not granted in time)' or simply drop it from the table with a footnote that gated models were excluded.</w:t>
      </w:r>
    </w:p>
    <w:p/>
    <w:p>
      <w:r>
        <w:rPr>
          <w:b/>
          <w:color w:val="555555"/>
          <w:sz w:val="24"/>
        </w:rPr>
        <w:t xml:space="preserve">#14  [MINOR]  </w:t>
      </w:r>
      <w:r>
        <w:rPr>
          <w:b/>
          <w:color w:val="1E4788"/>
          <w:sz w:val="24"/>
        </w:rPr>
        <w:t>Slide 8 — Subject-verb agreement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Subtitle reads: 'Two templates is enough to measure prompt sensitivity — we don't pick the best, we report both.'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Grammar: 'two templates' is plural; verb should be 'are'.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Change 'is enough' to 'are enough'.</w:t>
      </w:r>
    </w:p>
    <w:p/>
    <w:p>
      <w:r>
        <w:rPr>
          <w:b/>
          <w:color w:val="555555"/>
          <w:sz w:val="24"/>
        </w:rPr>
        <w:t xml:space="preserve">#15  [MINOR]  </w:t>
      </w:r>
      <w:r>
        <w:rPr>
          <w:b/>
          <w:color w:val="1E4788"/>
          <w:sz w:val="24"/>
        </w:rPr>
        <w:t>Slide 12 — Verify printed value: Mistral FPB B/0 should be 0.689 (not 0.683)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Slide 12 third finding reads (approx.): 'Mistral on FPB: Template A 0-shot 0.803 vs Template B 0-shot 0.683 — an 11-point gap from rewording alone.' The B/0 value appears to be printed as 0.683.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From final_table.csv: mistral7b · FPB · B/0 · f1_macro = 0.6889. Rounded to 3 decimals = 0.689 (not 0.683). Furthermore, the gap claimed on the slide is 11 points: 0.803 − 0.689 = 0.114 ≈ 11 pts ✓, but 0.803 − 0.683 = 0.120 = 12 pts. The '11 points' claim only works if the printed value is 0.689.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Verify the printed digit visually at high zoom. If the slide says 0.683, change to 0.689. If it already says 0.689, ignore this reject.</w:t>
      </w:r>
    </w:p>
    <w:p/>
    <w:p>
      <w:r>
        <w:rPr>
          <w:b/>
          <w:color w:val="555555"/>
          <w:sz w:val="24"/>
        </w:rPr>
        <w:t xml:space="preserve">#16  [MINOR]  </w:t>
      </w:r>
      <w:r>
        <w:rPr>
          <w:b/>
          <w:color w:val="1E4788"/>
          <w:sz w:val="24"/>
        </w:rPr>
        <w:t>Slide 17 — Parsing-coverage slide is anticlimactic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Slide 17 spends a full slide on a 7 × 4 grid where almost every cell is 1.00, with two cells at 0.97 and 0.98. Visually a lot of real estate for very little variance.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From final_table.csv: 22 of 24 LLM runs have coverage = 1.00 exactly; only 2 runs (plutus8b on A/3-shot) drop slightly.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Collapse to a single-sentence callout on slide 9 (Defenses): 'Parsing coverage ≥0.97 on every run (full table in appendix)'. Reclaim slide 17 for something with more analytical content (e.g., per-class precision/recall, or the 'limits of our claim' slide suggested in reject #19).</w:t>
      </w:r>
    </w:p>
    <w:p/>
    <w:p>
      <w:r>
        <w:rPr>
          <w:b/>
          <w:color w:val="555555"/>
          <w:sz w:val="24"/>
        </w:rPr>
        <w:t xml:space="preserve">#17  [MINOR]  </w:t>
      </w:r>
      <w:r>
        <w:rPr>
          <w:b/>
          <w:color w:val="1E4788"/>
          <w:sz w:val="24"/>
        </w:rPr>
        <w:t>Slide 25 and 26 — Two-slide dashboard tour could be one slide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Slides 25 and 26 are both about the same tool (the interactive dashboard) with overlapping narrative.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Visual inspection of slide-25_1.png and slide-26_1.png. Slide 25 has three numbered features in the left rail; slide 26 has three more. Both have placeholder screenshot boxes (see rejects #5, #6).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Merge into one slide with two real screenshots side-by-side: 'Research-view + Per-example explorer'. Add a one-line caption per screenshot. Saves a slide and tightens the narrative around the live demo.</w:t>
      </w:r>
    </w:p>
    <w:p/>
    <w:p>
      <w:r>
        <w:rPr>
          <w:b/>
          <w:color w:val="555555"/>
          <w:sz w:val="24"/>
        </w:rPr>
        <w:t xml:space="preserve">#18  [STRUCTURAL]  </w:t>
      </w:r>
      <w:r>
        <w:rPr>
          <w:b/>
          <w:color w:val="1E4788"/>
          <w:sz w:val="24"/>
        </w:rPr>
        <w:t>Slide back third (slides 18–30) — Re-sequence the back third for narrative flow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Current order: 18 (cases) → 19 (where works) → 20 (error cats) → 21-23 (NER block) → 24 (more cases) → 25-26 (dashboard) → 27 (lessons) → 28 (next steps) → 29 (finance) → 30 (thanks). The case-study material is split across slides 18, 20, 24 with slide 24 falling after the NER punchline, which deflates the deck's main verdict.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Structural — verified by reading the slide sequence end-to-end.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Proposed order: 18 (concrete cases) → 24 (two cases zoomed) → 20 (error categories) → 19 (where it works) → 21 (NER intro) → 22 (NER results) → 23 (Two tasks one answer) → 25/26 merged (dashboard) → 27 (Five lessons) → 28 (What we'd do differently) → 29 (What this means for finance) → 30 (Thank you). All case-study material now sits in one block; the NER punchline lands and is not undermined.</w:t>
      </w:r>
    </w:p>
    <w:p/>
    <w:p>
      <w:r>
        <w:rPr>
          <w:b/>
          <w:color w:val="555555"/>
          <w:sz w:val="24"/>
        </w:rPr>
        <w:t xml:space="preserve">#19  [STRUCTURAL]  </w:t>
      </w:r>
      <w:r>
        <w:rPr>
          <w:b/>
          <w:color w:val="1E4788"/>
          <w:sz w:val="24"/>
        </w:rPr>
        <w:t>Slide (new slide before Five lessons) — Add a 'limits of our claim' half-slide</w:t>
      </w:r>
    </w:p>
    <w:p>
      <w:r>
        <w:rPr>
          <w:b/>
          <w:sz w:val="22"/>
        </w:rPr>
        <w:t xml:space="preserve">Issue: </w:t>
      </w:r>
      <w:r>
        <w:rPr>
          <w:sz w:val="22"/>
        </w:rPr>
        <w:t>The deck's main finding ('financial instruction tuning did not reproduce its advantage') is strong but vulnerable in Q&amp;A to the objection: 'but you didn't test the original FinLLaMA-Instruct, only a substitute'. The deck acknowledges this on slide 4 (Reproducibility) but does not re-state it next to the conclusion.</w:t>
      </w:r>
    </w:p>
    <w:p>
      <w:r>
        <w:rPr>
          <w:b/>
          <w:color w:val="1E7E34"/>
          <w:sz w:val="22"/>
        </w:rPr>
        <w:t xml:space="preserve">Evidence (validated against project results): </w:t>
      </w:r>
      <w:r>
        <w:rPr>
          <w:sz w:val="22"/>
        </w:rPr>
        <w:t>Slide 4 already notes 'TheFinAI/FinLLaMA-instruct has been unpublished by the authors' and labels plutus-8B-Instruct as the substitute. A pre-emptive boundary statement near the conclusion converts a vulnerability into rigor.</w:t>
      </w:r>
    </w:p>
    <w:p>
      <w:r>
        <w:rPr>
          <w:b/>
          <w:sz w:val="22"/>
        </w:rPr>
        <w:t xml:space="preserve">Recommended fix: </w:t>
      </w:r>
      <w:r>
        <w:rPr>
          <w:sz w:val="22"/>
        </w:rPr>
        <w:t>Add a small slide (or a callout on slide 27) saying: 'We did not fine-tune. We replaced the focal model. Our claim is therefore: with the substitute model (plutus-8B) and our prompts, the published advantage did not reproduce — not financial instruction tuning has no value in general.' Pre-empts the most likely critical question.</w:t>
      </w:r>
    </w:p>
    <w:p/>
    <w:p/>
    <w:p>
      <w:pPr>
        <w:pStyle w:val="Heading1"/>
      </w:pPr>
      <w:r>
        <w:rPr>
          <w:color w:val="1E4788"/>
        </w:rPr>
        <w:t>Validation methodology</w:t>
      </w:r>
    </w:p>
    <w:p>
      <w:r>
        <w:rPr>
          <w:b w:val="0"/>
          <w:i w:val="0"/>
          <w:sz w:val="22"/>
        </w:rPr>
        <w:t>Every numeric reject above was checked against the project's committed result files. Specifically:</w:t>
      </w:r>
    </w:p>
    <w:p>
      <w:pPr>
        <w:pStyle w:val="ListBullet"/>
      </w:pPr>
      <w:r>
        <w:rPr>
          <w:sz w:val="22"/>
        </w:rPr>
        <w:t>results/summary/final_table.csv (24 LLM rows + 6 baseline rows; primary source for F1-macro, accuracy, coverage)</w:t>
      </w:r>
    </w:p>
    <w:p>
      <w:pPr>
        <w:pStyle w:val="ListBullet"/>
      </w:pPr>
      <w:r>
        <w:rPr>
          <w:sz w:val="22"/>
        </w:rPr>
        <w:t>results/summary/baselines.csv (FinBERT and VADER baselines on full FPB and FiQA test sets)</w:t>
      </w:r>
    </w:p>
    <w:p>
      <w:pPr>
        <w:pStyle w:val="ListBullet"/>
      </w:pPr>
      <w:r>
        <w:rPr>
          <w:sz w:val="22"/>
        </w:rPr>
        <w:t>results/summary/ner_summary.json (NER entity inventory used by slide 6 caveats)</w:t>
      </w:r>
    </w:p>
    <w:p>
      <w:pPr>
        <w:pStyle w:val="ListBullet"/>
      </w:pPr>
      <w:r>
        <w:rPr>
          <w:sz w:val="22"/>
        </w:rPr>
        <w:t>results/summary/focal_error_sample.csv (the file slide 20 references as authoring instruction)</w:t>
      </w:r>
    </w:p>
    <w:p>
      <w:pPr>
        <w:pStyle w:val="ListBullet"/>
      </w:pPr>
      <w:r>
        <w:rPr>
          <w:sz w:val="22"/>
        </w:rPr>
        <w:t>Worktree-only: .claude/worktrees/happy-almeida-b29e1b/results/summary_ner/final_table_ner.csv (definitive NER results — strict_f1, coverage, n_samples for each NER model)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Items not validated against data (structural / language / visual):</w:t>
      </w:r>
    </w:p>
    <w:p>
      <w:pPr>
        <w:pStyle w:val="ListBullet"/>
      </w:pPr>
      <w:r>
        <w:rPr>
          <w:sz w:val="22"/>
        </w:rPr>
        <w:t>#08 (slide 15 readability) — visual judgement at projection scale</w:t>
      </w:r>
    </w:p>
    <w:p>
      <w:pPr>
        <w:pStyle w:val="ListBullet"/>
      </w:pPr>
      <w:r>
        <w:rPr>
          <w:sz w:val="22"/>
        </w:rPr>
        <w:t>#11 (slides 18/24 redundancy) — narrative judgement</w:t>
      </w:r>
    </w:p>
    <w:p>
      <w:pPr>
        <w:pStyle w:val="ListBullet"/>
      </w:pPr>
      <w:r>
        <w:rPr>
          <w:sz w:val="22"/>
        </w:rPr>
        <w:t>#12 (slide 30 sparseness) — visual judgement</w:t>
      </w:r>
    </w:p>
    <w:p>
      <w:pPr>
        <w:pStyle w:val="ListBullet"/>
      </w:pPr>
      <w:r>
        <w:rPr>
          <w:sz w:val="22"/>
        </w:rPr>
        <w:t>#13, #14 (wording / grammar) — language judgement</w:t>
      </w:r>
    </w:p>
    <w:p>
      <w:pPr>
        <w:pStyle w:val="ListBullet"/>
      </w:pPr>
      <w:r>
        <w:rPr>
          <w:sz w:val="22"/>
        </w:rPr>
        <w:t>#16, #17 (slide collapse / merge) — narrative judgement</w:t>
      </w:r>
    </w:p>
    <w:p>
      <w:pPr>
        <w:pStyle w:val="ListBullet"/>
      </w:pPr>
      <w:r>
        <w:rPr>
          <w:sz w:val="22"/>
        </w:rPr>
        <w:t>#18, #19 (structural re-sequence, new slide) — narrative judgement</w:t>
      </w:r>
    </w:p>
    <w:p/>
    <w:p>
      <w:r>
        <w:rPr>
          <w:b w:val="0"/>
          <w:i/>
          <w:color w:val="555555"/>
          <w:sz w:val="18"/>
        </w:rPr>
        <w:t>Generated automatically from a review pass over Implementation_deck_rev5.pptx + Implementation_deck_speaker.docx, cross-checked against the finllama-sentiment repo.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