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Predicting Cancer Drug Response from Baseline Gene Expression</w:t>
      </w:r>
    </w:p>
    <w:p>
      <w:pPr>
        <w:jc w:val="center"/>
      </w:pPr>
      <w:r>
        <w:rPr>
          <w:i/>
          <w:sz w:val="24"/>
        </w:rPr>
        <w:t>DepMap RNA-seq + PRISM Drug-Response Machine Learning Project</w:t>
      </w:r>
    </w:p>
    <w:p>
      <w:pPr>
        <w:jc w:val="center"/>
      </w:pPr>
      <w:r>
        <w:rPr>
          <w:sz w:val="20"/>
        </w:rPr>
        <w:t>Project summary and methodology</w:t>
      </w:r>
    </w:p>
    <w:p/>
    <w:p>
      <w:pPr>
        <w:pStyle w:val="Heading1"/>
      </w:pPr>
      <w:r>
        <w:t>1. Project Overview</w:t>
      </w:r>
    </w:p>
    <w:p>
      <w:r>
        <w:t>This project investigates whether baseline gene-expression profiles from cancer cell lines can predict drug-response phenotypes measured in the PRISM repurposing screen. DepMap RNA-seq expression data are matched with PRISM dose-response measurements using the DepMap cell-line identifier. The prediction target is drug-response area under the dose-response curve (AUC), where lower AUC indicates greater drug sensitivity and higher AUC indicates greater resistance.</w:t>
      </w:r>
    </w:p>
    <w:p>
      <w:r>
        <w:t>The work began with AZD2014 (vistusertib) as a detailed case study and was then generalized into a reusable multi-drug screening pipeline. The main finding from the AZD2014 analysis was that baseline gene expression contained only weak predictive signal in the pan-cancer setting. This negative result motivated a standardized screen across additional drugs to determine whether predictability differs by compound.</w:t>
      </w:r>
    </w:p>
    <w:p>
      <w:pPr>
        <w:pStyle w:val="Heading1"/>
      </w:pPr>
      <w:r>
        <w:t>2. Main Questions</w:t>
      </w:r>
    </w:p>
    <w:p>
      <w:pPr>
        <w:pStyle w:val="ListBullet"/>
      </w:pPr>
      <w:r>
        <w:t>Can high-dimensional baseline RNA-seq expression predict continuous PRISM drug-response AUC?</w:t>
      </w:r>
    </w:p>
    <w:p>
      <w:pPr>
        <w:pStyle w:val="ListBullet"/>
      </w:pPr>
      <w:r>
        <w:t>How do linear regularized, nonlinear kernel, and tree-based models compare in a p &gt;&gt; n setting?</w:t>
      </w:r>
    </w:p>
    <w:p>
      <w:pPr>
        <w:pStyle w:val="ListBullet"/>
      </w:pPr>
      <w:r>
        <w:t>Does predictive performance differ substantially between drugs when the same preprocessing and modeling procedure is used?</w:t>
      </w:r>
    </w:p>
    <w:p>
      <w:pPr>
        <w:pStyle w:val="ListBullet"/>
      </w:pPr>
      <w:r>
        <w:t>Can a reusable screening workflow identify drug-response phenotypes that justify deeper modeling and biological interpretation?</w:t>
      </w:r>
    </w:p>
    <w:p>
      <w:pPr>
        <w:pStyle w:val="Heading1"/>
      </w:pPr>
      <w:r>
        <w:t>3. Data Sources and Modeling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Component</w:t>
            </w:r>
          </w:p>
        </w:tc>
        <w:tc>
          <w:tcPr>
            <w:tcW w:type="dxa" w:w="3312"/>
            <w:shd w:fill="D9EAF7"/>
            <w:vAlign w:val="center"/>
          </w:tcPr>
          <w:p>
            <w:r>
              <w:t>Source / Role</w:t>
            </w:r>
          </w:p>
        </w:tc>
        <w:tc>
          <w:tcPr>
            <w:tcW w:type="dxa" w:w="3312"/>
            <w:shd w:fill="D9EAF7"/>
            <w:vAlign w:val="center"/>
          </w:tcPr>
          <w:p>
            <w:r>
              <w:t>Key Detail</w:t>
            </w:r>
          </w:p>
        </w:tc>
      </w:tr>
      <w:tr>
        <w:tc>
          <w:tcPr>
            <w:tcW w:type="dxa" w:w="3312"/>
          </w:tcPr>
          <w:p>
            <w:r>
              <w:t>RNA-seq</w:t>
            </w:r>
          </w:p>
        </w:tc>
        <w:tc>
          <w:tcPr>
            <w:tcW w:type="dxa" w:w="3312"/>
          </w:tcPr>
          <w:p>
            <w:r>
              <w:t>DepMap expression data</w:t>
            </w:r>
          </w:p>
        </w:tc>
        <w:tc>
          <w:tcPr>
            <w:tcW w:type="dxa" w:w="3312"/>
          </w:tcPr>
          <w:p>
            <w:r>
              <w:t>Baseline log2(TPM + 1) expression; approximately 19,000 protein-coding gene features.</w:t>
            </w:r>
          </w:p>
        </w:tc>
      </w:tr>
      <w:tr>
        <w:tc>
          <w:tcPr>
            <w:tcW w:type="dxa" w:w="3312"/>
          </w:tcPr>
          <w:p>
            <w:r>
              <w:t>Drug response</w:t>
            </w:r>
          </w:p>
        </w:tc>
        <w:tc>
          <w:tcPr>
            <w:tcW w:type="dxa" w:w="3312"/>
          </w:tcPr>
          <w:p>
            <w:r>
              <w:t>PRISM 20Q2 secondary repurposing screen</w:t>
            </w:r>
          </w:p>
        </w:tc>
        <w:tc>
          <w:tcPr>
            <w:tcW w:type="dxa" w:w="3312"/>
          </w:tcPr>
          <w:p>
            <w:r>
              <w:t>Continuous AUC used as the regression target.</w:t>
            </w:r>
          </w:p>
        </w:tc>
      </w:tr>
      <w:tr>
        <w:tc>
          <w:tcPr>
            <w:tcW w:type="dxa" w:w="3312"/>
          </w:tcPr>
          <w:p>
            <w:r>
              <w:t>Cell-line matching</w:t>
            </w:r>
          </w:p>
        </w:tc>
        <w:tc>
          <w:tcPr>
            <w:tcW w:type="dxa" w:w="3312"/>
          </w:tcPr>
          <w:p>
            <w:r>
              <w:t>ModelID / depmap_id</w:t>
            </w:r>
          </w:p>
        </w:tc>
        <w:tc>
          <w:tcPr>
            <w:tcW w:type="dxa" w:w="3312"/>
          </w:tcPr>
          <w:p>
            <w:r>
              <w:t>Only biological cell lines represented in both datasets are retained.</w:t>
            </w:r>
          </w:p>
        </w:tc>
      </w:tr>
      <w:tr>
        <w:tc>
          <w:tcPr>
            <w:tcW w:type="dxa" w:w="3312"/>
          </w:tcPr>
          <w:p>
            <w:r>
              <w:t>Study design</w:t>
            </w:r>
          </w:p>
        </w:tc>
        <w:tc>
          <w:tcPr>
            <w:tcW w:type="dxa" w:w="3312"/>
          </w:tcPr>
          <w:p>
            <w:r>
              <w:t>Pan-cancer</w:t>
            </w:r>
          </w:p>
        </w:tc>
        <w:tc>
          <w:tcPr>
            <w:tcW w:type="dxa" w:w="3312"/>
          </w:tcPr>
          <w:p>
            <w:r>
              <w:t>Models are trained across cancer cell lines rather than within one lineage.</w:t>
            </w:r>
          </w:p>
        </w:tc>
      </w:tr>
    </w:tbl>
    <w:p>
      <w:r>
        <w:t>AUC was selected because it was available across the measurements used in the project, whereas IC50 had substantial missingness and EC50 showed problematic extreme values during initial inspection.</w:t>
      </w:r>
    </w:p>
    <w:p>
      <w:pPr>
        <w:pStyle w:val="Heading1"/>
      </w:pPr>
      <w:r>
        <w:t>4. Initial Data Inspection</w:t>
      </w:r>
    </w:p>
    <w:p>
      <w:r>
        <w:t>The first stage examines the structure and quality of the RNA-seq, DepMap metadata, and PRISM datasets. The RNA-seq dataset contains 1,719 unique biological cell lines, while the PRISM dataset contains 737 unique cell lines. A total of 728 cell lines overlap between the two datasets. For each drug, the number of unique cell lines with both RNA-seq and PRISM measurements is calculated and saved for drug selection.</w:t>
      </w:r>
    </w:p>
    <w:p>
      <w:r>
        <w:t>AZD2014 was chosen as the initial detailed case study because it had very high RNA-seq/PRISM overlap, with 720 usable cell lines after preprocessing.</w:t>
      </w:r>
    </w:p>
    <w:p>
      <w:pPr>
        <w:pStyle w:val="Heading1"/>
      </w:pPr>
      <w:r>
        <w:t>5. AZD2014 Preprocessing</w:t>
      </w:r>
    </w:p>
    <w:p>
      <w:r>
        <w:t>PRISM can contain multiple measurements for the same drug and biological cell line. To construct one target value per cell line, repeated AZD2014 measurements are resolved using a predefined measurement hierarchy:</w:t>
      </w:r>
    </w:p>
    <w:p>
      <w:pPr>
        <w:pStyle w:val="ListBullet"/>
      </w:pPr>
      <w:r>
        <w:t>MTS010 + PR500 — highest priority</w:t>
      </w:r>
    </w:p>
    <w:p>
      <w:pPr>
        <w:pStyle w:val="ListBullet"/>
      </w:pPr>
      <w:r>
        <w:t>MTS010 + PR300 — used when the preferred measurement is unavailable</w:t>
      </w:r>
    </w:p>
    <w:p>
      <w:pPr>
        <w:pStyle w:val="ListBullet"/>
      </w:pPr>
      <w:r>
        <w:t>HTS002 + PR500 — used when an MTS010 measurement is unavailable</w:t>
      </w:r>
    </w:p>
    <w:p>
      <w:r>
        <w:t>After applying the hierarchy, the AZD2014 dataset contains 720 cell lines with one AUC measurement each: 473 selected from MTS010 + PR500, 237 from MTS010 + PR300, and 10 from HTS002 + PR500.</w:t>
      </w:r>
    </w:p>
    <w:p>
      <w:r>
        <w:t>Some cell lines also have multiple RNA-seq profiles. The profile marked by DepMap as the default (IsDefaultEntryForMC == 'Yes') is retained. RNA-seq metadata columns are removed, the expression and response tables are merged by ModelID, missing expression values are checked, and zero-variance genes are removed. The resulting AZD2014 modeling dataset contains 720 samples and 19,206 gene-expression predictors.</w:t>
      </w:r>
    </w:p>
    <w:p>
      <w:pPr>
        <w:pStyle w:val="Heading1"/>
      </w:pPr>
      <w:r>
        <w:t>6. Exploratory PCA</w:t>
      </w:r>
    </w:p>
    <w:p>
      <w:r>
        <w:t>Principal component analysis is performed on standardized training-set expression data as an exploratory analysis. Cumulative explained variance is examined, PC1 is plotted against AZD2014 AUC, and the correlation between every available principal component and AUC is calculated. No principal component shows a strong relationship with AZD2014 response, suggesting that the major unsupervised axes of global expression variation do not directly capture the response phenotype.</w:t>
      </w:r>
    </w:p>
    <w:p>
      <w:pPr>
        <w:pStyle w:val="Heading1"/>
      </w:pPr>
      <w:r>
        <w:t>7. AZD2014 Modeling</w:t>
      </w:r>
    </w:p>
    <w:p>
      <w:r>
        <w:t>The data are divided into an 85% training set and a 15% held-out test set using random_state=101. Hyperparameter selection is performed with five-fold cross-validation on the training data. The principal optimization metric is root mean squared error (RMSE). A mean-only prediction is used as a reference baseline.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Model</w:t>
            </w:r>
          </w:p>
        </w:tc>
        <w:tc>
          <w:tcPr>
            <w:tcW w:type="dxa" w:w="1987"/>
            <w:shd w:fill="D9EAF7"/>
          </w:tcPr>
          <w:p>
            <w:r>
              <w:t>Test MAE</w:t>
            </w:r>
          </w:p>
        </w:tc>
        <w:tc>
          <w:tcPr>
            <w:tcW w:type="dxa" w:w="1987"/>
            <w:shd w:fill="D9EAF7"/>
          </w:tcPr>
          <w:p>
            <w:r>
              <w:t>Test RMSE</w:t>
            </w:r>
          </w:p>
        </w:tc>
        <w:tc>
          <w:tcPr>
            <w:tcW w:type="dxa" w:w="1987"/>
            <w:shd w:fill="D9EAF7"/>
          </w:tcPr>
          <w:p>
            <w:r>
              <w:t>Test R²</w:t>
            </w:r>
          </w:p>
        </w:tc>
        <w:tc>
          <w:tcPr>
            <w:tcW w:type="dxa" w:w="1987"/>
            <w:shd w:fill="D9EAF7"/>
          </w:tcPr>
          <w:p>
            <w:r>
              <w:t>Interpretation</w:t>
            </w:r>
          </w:p>
        </w:tc>
      </w:tr>
      <w:tr>
        <w:tc>
          <w:tcPr>
            <w:tcW w:type="dxa" w:w="1987"/>
          </w:tcPr>
          <w:p>
            <w:r>
              <w:t>Elastic Net</w:t>
            </w:r>
          </w:p>
        </w:tc>
        <w:tc>
          <w:tcPr>
            <w:tcW w:type="dxa" w:w="1987"/>
          </w:tcPr>
          <w:p>
            <w:r>
              <w:t>≈ 0.075</w:t>
            </w:r>
          </w:p>
        </w:tc>
        <w:tc>
          <w:tcPr>
            <w:tcW w:type="dxa" w:w="1987"/>
          </w:tcPr>
          <w:p>
            <w:r>
              <w:t>≈ 0.093</w:t>
            </w:r>
          </w:p>
        </w:tc>
        <w:tc>
          <w:tcPr>
            <w:tcW w:type="dxa" w:w="1987"/>
          </w:tcPr>
          <w:p>
            <w:r>
              <w:t>≈ 0.029</w:t>
            </w:r>
          </w:p>
        </w:tc>
        <w:tc>
          <w:tcPr>
            <w:tcW w:type="dxa" w:w="1987"/>
          </w:tcPr>
          <w:p>
            <w:r>
              <w:t>Sparse linear baseline; 38 of 19,206 coefficients retained.</w:t>
            </w:r>
          </w:p>
        </w:tc>
      </w:tr>
      <w:tr>
        <w:tc>
          <w:tcPr>
            <w:tcW w:type="dxa" w:w="1987"/>
          </w:tcPr>
          <w:p>
            <w:r>
              <w:t>RBF-SVR</w:t>
            </w:r>
          </w:p>
        </w:tc>
        <w:tc>
          <w:tcPr>
            <w:tcW w:type="dxa" w:w="1987"/>
          </w:tcPr>
          <w:p>
            <w:r>
              <w:t>0.07567</w:t>
            </w:r>
          </w:p>
        </w:tc>
        <w:tc>
          <w:tcPr>
            <w:tcW w:type="dxa" w:w="1987"/>
          </w:tcPr>
          <w:p>
            <w:r>
              <w:t>0.09390</w:t>
            </w:r>
          </w:p>
        </w:tc>
        <w:tc>
          <w:tcPr>
            <w:tcW w:type="dxa" w:w="1987"/>
          </w:tcPr>
          <w:p>
            <w:r>
              <w:t>0.0169</w:t>
            </w:r>
          </w:p>
        </w:tc>
        <w:tc>
          <w:tcPr>
            <w:tcW w:type="dxa" w:w="1987"/>
          </w:tcPr>
          <w:p>
            <w:r>
              <w:t>Nonlinear kernel model did not improve on Elastic Net.</w:t>
            </w:r>
          </w:p>
        </w:tc>
      </w:tr>
      <w:tr>
        <w:tc>
          <w:tcPr>
            <w:tcW w:type="dxa" w:w="1987"/>
          </w:tcPr>
          <w:p>
            <w:r>
              <w:t>Random Forest</w:t>
            </w:r>
          </w:p>
        </w:tc>
        <w:tc>
          <w:tcPr>
            <w:tcW w:type="dxa" w:w="1987"/>
          </w:tcPr>
          <w:p>
            <w:r>
              <w:t>0.07312</w:t>
            </w:r>
          </w:p>
        </w:tc>
        <w:tc>
          <w:tcPr>
            <w:tcW w:type="dxa" w:w="1987"/>
          </w:tcPr>
          <w:p>
            <w:r>
              <w:t>0.09109</w:t>
            </w:r>
          </w:p>
        </w:tc>
        <w:tc>
          <w:tcPr>
            <w:tcW w:type="dxa" w:w="1987"/>
          </w:tcPr>
          <w:p>
            <w:r>
              <w:t>0.0747</w:t>
            </w:r>
          </w:p>
        </w:tc>
        <w:tc>
          <w:tcPr>
            <w:tcW w:type="dxa" w:w="1987"/>
          </w:tcPr>
          <w:p>
            <w:r>
              <w:t>Best test R² of the three, but strong train/test gap.</w:t>
            </w:r>
          </w:p>
        </w:tc>
      </w:tr>
    </w:tbl>
    <w:p>
      <w:r>
        <w:t>Elastic Net cross-validation selected alpha = 0.1 and l1_ratio = 0.1 in the original experiment. The fitted model retained only 38 non-zero coefficients, demonstrating substantial regularization, but explained little test-set variation.</w:t>
      </w:r>
    </w:p>
    <w:p>
      <w:r>
        <w:t>Random Forest achieved a training R² of approximately 0.871 versus a test R² of approximately 0.075. The large gap indicates substantial overfitting despite its modest improvement in held-out performance.</w:t>
      </w:r>
    </w:p>
    <w:p>
      <w:pPr>
        <w:pStyle w:val="Heading1"/>
      </w:pPr>
      <w:r>
        <w:t>8. Interpretation of the AZD2014 Result</w:t>
      </w:r>
    </w:p>
    <w:p>
      <w:r>
        <w:t>The AZD2014 case study does not support strong prediction of drug response from baseline gene expression alone under this pan-cancer design. Elastic Net and SVR perform close to the response variation scale, while Random Forest learns much more of the training data than it can generalize to unseen cell lines.</w:t>
      </w:r>
    </w:p>
    <w:p>
      <w:r>
        <w:t>This result is scientifically useful rather than simply a failed model: it demonstrates the difficulty of the high-dimensional problem and motivates testing whether the limitation is specific to AZD2014 or common across many compounds.</w:t>
      </w:r>
    </w:p>
    <w:p>
      <w:pPr>
        <w:pStyle w:val="Heading1"/>
      </w:pPr>
      <w:r>
        <w:t>9. Generalized Drug-Screening Pipeline</w:t>
      </w:r>
    </w:p>
    <w:p>
      <w:r>
        <w:t>The AZD2014 workflow was generalized into a reusable screen_drug() pipeline. For any selected PRISM compound, the function performs the same cell-line matching, PRISM measurement resolution, default RNA-seq profile selection, metadata removal, missing-value checks, zero-variance filtering, train/test split, model tuning, evaluation, plotting, and result saving.</w:t>
      </w:r>
    </w:p>
    <w:p>
      <w:r>
        <w:t>The screening pipeline reports and saves:</w:t>
      </w:r>
    </w:p>
    <w:p>
      <w:pPr>
        <w:pStyle w:val="ListBullet"/>
      </w:pPr>
      <w:r>
        <w:t>Data QC: raw measurements, matched cell lines, gene count, zero-variance genes, and PRISM priority counts.</w:t>
      </w:r>
    </w:p>
    <w:p>
      <w:pPr>
        <w:pStyle w:val="ListBullet"/>
      </w:pPr>
      <w:r>
        <w:t>AUC distribution statistics and an AUC histogram.</w:t>
      </w:r>
    </w:p>
    <w:p>
      <w:pPr>
        <w:pStyle w:val="ListBullet"/>
      </w:pPr>
      <w:r>
        <w:t>Mean-only DummyRegressor baseline.</w:t>
      </w:r>
    </w:p>
    <w:p>
      <w:pPr>
        <w:pStyle w:val="ListBullet"/>
      </w:pPr>
      <w:r>
        <w:t>Optional Elastic Net, RBF-SVR, and Random Forest models.</w:t>
      </w:r>
    </w:p>
    <w:p>
      <w:pPr>
        <w:pStyle w:val="ListBullet"/>
      </w:pPr>
      <w:r>
        <w:t>MAE, RMSE, test R², cross-validation RMSE, train R², RMSE/test-SD, and improvement versus the mean baseline.</w:t>
      </w:r>
    </w:p>
    <w:p>
      <w:pPr>
        <w:pStyle w:val="ListBullet"/>
      </w:pPr>
      <w:r>
        <w:t>Observed-vs-predicted plots, residual plots, prediction tables, best hyperparameters, and per-drug model summaries.</w:t>
      </w:r>
    </w:p>
    <w:p>
      <w:pPr>
        <w:pStyle w:val="Heading1"/>
      </w:pPr>
      <w:r>
        <w:t>10. Multi-Drug Screening</w:t>
      </w:r>
    </w:p>
    <w:p>
      <w:r>
        <w:t>A separate driver script applies the reusable screening function to multiple compounds using the same preprocessing and modeling strategy. The current screening list includes AZD2014, cinacalcet, osimertinib, teniposide, floxuridine, tanespimycin, ponatinib, BMS-754807, pevonedistat, talazoparib, trametinib, alvespimycin, and everolimus.</w:t>
      </w:r>
    </w:p>
    <w:p>
      <w:r>
        <w:t>Elastic Net and RBF-SVR are used for rapid initial screening, while Random Forest can be enabled selectively because it is substantially more computationally expensive in the approximately 19,000-feature expression space. The screening stage is explicitly exploratory: its purpose is to identify differences in predictability between drugs, not to treat the best observed test result as a final unbiased performance estimate.</w:t>
      </w:r>
    </w:p>
    <w:p>
      <w:pPr>
        <w:pStyle w:val="Heading1"/>
      </w:pPr>
      <w:r>
        <w:t>11. Project Outputs and Code Organization</w:t>
      </w:r>
    </w:p>
    <w:p>
      <w:r>
        <w:t>The cleaned project is organized around five source files:</w:t>
      </w:r>
    </w:p>
    <w:tbl>
      <w:tblPr>
        <w:tblStyle w:val="TableGrid"/>
        <w:tblW w:type="auto" w:w="0"/>
        <w:tblLook w:firstColumn="1" w:firstRow="1" w:lastColumn="0" w:lastRow="0" w:noHBand="0" w:noVBand="1" w:val="04A0"/>
      </w:tblPr>
      <w:tblGrid>
        <w:gridCol w:w="4968"/>
        <w:gridCol w:w="4968"/>
      </w:tblGrid>
      <w:tr>
        <w:tc>
          <w:tcPr>
            <w:tcW w:type="dxa" w:w="4968"/>
            <w:shd w:fill="D9EAF7"/>
          </w:tcPr>
          <w:p>
            <w:r>
              <w:t>Script</w:t>
            </w:r>
          </w:p>
        </w:tc>
        <w:tc>
          <w:tcPr>
            <w:tcW w:type="dxa" w:w="4968"/>
            <w:shd w:fill="D9EAF7"/>
          </w:tcPr>
          <w:p>
            <w:r>
              <w:t>Role</w:t>
            </w:r>
          </w:p>
        </w:tc>
      </w:tr>
      <w:tr>
        <w:tc>
          <w:tcPr>
            <w:tcW w:type="dxa" w:w="4968"/>
          </w:tcPr>
          <w:p>
            <w:r>
              <w:t>01_data_inspection.py</w:t>
            </w:r>
          </w:p>
        </w:tc>
        <w:tc>
          <w:tcPr>
            <w:tcW w:type="dxa" w:w="4968"/>
          </w:tcPr>
          <w:p>
            <w:r>
              <w:t>Inspect DepMap/PRISM data, quantify overlap, and support drug selection.</w:t>
            </w:r>
          </w:p>
        </w:tc>
      </w:tr>
      <w:tr>
        <w:tc>
          <w:tcPr>
            <w:tcW w:type="dxa" w:w="4968"/>
          </w:tcPr>
          <w:p>
            <w:r>
              <w:t>02_azd2014_preprocessing.py</w:t>
            </w:r>
          </w:p>
        </w:tc>
        <w:tc>
          <w:tcPr>
            <w:tcW w:type="dxa" w:w="4968"/>
          </w:tcPr>
          <w:p>
            <w:r>
              <w:t>Construct the cleaned AZD2014 modeling dataset.</w:t>
            </w:r>
          </w:p>
        </w:tc>
      </w:tr>
      <w:tr>
        <w:tc>
          <w:tcPr>
            <w:tcW w:type="dxa" w:w="4968"/>
          </w:tcPr>
          <w:p>
            <w:r>
              <w:t>03_azd2014_modeling.py</w:t>
            </w:r>
          </w:p>
        </w:tc>
        <w:tc>
          <w:tcPr>
            <w:tcW w:type="dxa" w:w="4968"/>
          </w:tcPr>
          <w:p>
            <w:r>
              <w:t>Detailed PCA and Elastic Net/SVR/Random Forest AZD2014 case study.</w:t>
            </w:r>
          </w:p>
        </w:tc>
      </w:tr>
      <w:tr>
        <w:tc>
          <w:tcPr>
            <w:tcW w:type="dxa" w:w="4968"/>
          </w:tcPr>
          <w:p>
            <w:r>
              <w:t>drug_screening.py</w:t>
            </w:r>
          </w:p>
        </w:tc>
        <w:tc>
          <w:tcPr>
            <w:tcW w:type="dxa" w:w="4968"/>
          </w:tcPr>
          <w:p>
            <w:r>
              <w:t>Reusable preprocessing, modeling, evaluation, diagnostics, and result-saving functions.</w:t>
            </w:r>
          </w:p>
        </w:tc>
      </w:tr>
      <w:tr>
        <w:tc>
          <w:tcPr>
            <w:tcW w:type="dxa" w:w="4968"/>
          </w:tcPr>
          <w:p>
            <w:r>
              <w:t>04_multi_drug_screening.py</w:t>
            </w:r>
          </w:p>
        </w:tc>
        <w:tc>
          <w:tcPr>
            <w:tcW w:type="dxa" w:w="4968"/>
          </w:tcPr>
          <w:p>
            <w:r>
              <w:t>Run the standardized screening pipeline across the selected drugs and aggregate results.</w:t>
            </w:r>
          </w:p>
        </w:tc>
      </w:tr>
    </w:tbl>
    <w:p>
      <w:r>
        <w:t>Derived datasets are stored under data/processed/. Detailed screening results are organized under results/drug_screening/&lt;drug_name&gt;/, while project-level summary tables are stored in results/ and selected visualizations in figures/.</w:t>
      </w:r>
    </w:p>
    <w:p>
      <w:pPr>
        <w:pStyle w:val="Heading1"/>
      </w:pPr>
      <w:r>
        <w:t>12. Methodological Strengths</w:t>
      </w:r>
    </w:p>
    <w:p>
      <w:pPr>
        <w:pStyle w:val="ListBullet"/>
      </w:pPr>
      <w:r>
        <w:t>Clear separation between raw-data inspection, preprocessing, detailed case-study modeling, and reusable screening.</w:t>
      </w:r>
    </w:p>
    <w:p>
      <w:pPr>
        <w:pStyle w:val="ListBullet"/>
      </w:pPr>
      <w:r>
        <w:t>Cell-line identifiers are matched explicitly across DepMap and PRISM.</w:t>
      </w:r>
    </w:p>
    <w:p>
      <w:pPr>
        <w:pStyle w:val="ListBullet"/>
      </w:pPr>
      <w:r>
        <w:t>Repeated PRISM measurements are resolved using a predefined hierarchy rather than arbitrary averaging.</w:t>
      </w:r>
    </w:p>
    <w:p>
      <w:pPr>
        <w:pStyle w:val="ListBullet"/>
      </w:pPr>
      <w:r>
        <w:t>Duplicate RNA-seq profiles are handled using DepMap's default-profile annotation.</w:t>
      </w:r>
    </w:p>
    <w:p>
      <w:pPr>
        <w:pStyle w:val="ListBullet"/>
      </w:pPr>
      <w:r>
        <w:t>Scaling is contained inside scikit-learn pipelines, preventing preprocessing leakage during cross-validation.</w:t>
      </w:r>
    </w:p>
    <w:p>
      <w:pPr>
        <w:pStyle w:val="ListBullet"/>
      </w:pPr>
      <w:r>
        <w:t>Hyperparameter tuning is performed only on the training data.</w:t>
      </w:r>
    </w:p>
    <w:p>
      <w:pPr>
        <w:pStyle w:val="ListBullet"/>
      </w:pPr>
      <w:r>
        <w:t>A mean-only baseline is used to quantify whether molecular predictors add useful predictive information.</w:t>
      </w:r>
    </w:p>
    <w:p>
      <w:pPr>
        <w:pStyle w:val="ListBullet"/>
      </w:pPr>
      <w:r>
        <w:t>Train and test performance are both reported, making overfitting visible.</w:t>
      </w:r>
    </w:p>
    <w:p>
      <w:pPr>
        <w:pStyle w:val="ListBullet"/>
      </w:pPr>
      <w:r>
        <w:t>The same procedure is reused across drugs, improving comparability during exploratory screening.</w:t>
      </w:r>
    </w:p>
    <w:p>
      <w:pPr>
        <w:pStyle w:val="Heading1"/>
      </w:pPr>
      <w:r>
        <w:t>13. Limitations and Next Steps</w:t>
      </w:r>
    </w:p>
    <w:p>
      <w:pPr>
        <w:pStyle w:val="ListBullet"/>
      </w:pPr>
      <w:r>
        <w:t>The problem is strongly high-dimensional (p &gt;&gt; n): approximately 19,000 genes are available for only several hundred cell lines per drug.</w:t>
      </w:r>
    </w:p>
    <w:p>
      <w:pPr>
        <w:pStyle w:val="ListBullet"/>
      </w:pPr>
      <w:r>
        <w:t>The pan-cancer design may mix drug-response biology with tissue or lineage effects. Lineage-aware analyses could be evaluated in future work.</w:t>
      </w:r>
    </w:p>
    <w:p>
      <w:pPr>
        <w:pStyle w:val="ListBullet"/>
      </w:pPr>
      <w:r>
        <w:t>Baseline RNA-seq captures only one molecular layer. Mutations, copy-number alterations, proteomics, lineage, pathway-level features, or multimodal integration may improve prediction.</w:t>
      </w:r>
    </w:p>
    <w:p>
      <w:pPr>
        <w:pStyle w:val="ListBullet"/>
      </w:pPr>
      <w:r>
        <w:t>The fixed held-out split is useful for consistent project comparisons, but repeated or nested validation would provide more robust uncertainty estimates for final model assessment.</w:t>
      </w:r>
    </w:p>
    <w:p>
      <w:pPr>
        <w:pStyle w:val="ListBullet"/>
      </w:pPr>
      <w:r>
        <w:t>Screening many drugs and then selecting the most promising result based on held-out performance makes the multi-drug stage exploratory. A newly selected drug should ideally be assessed with a fresh validation strategy before making confirmatory claims.</w:t>
      </w:r>
    </w:p>
    <w:p>
      <w:pPr>
        <w:pStyle w:val="ListBullet"/>
      </w:pPr>
      <w:r>
        <w:t>Elastic Net coefficients can identify candidate predictive features, but they should not be interpreted as causal drug-response mechanisms without independent biological validation.</w:t>
      </w:r>
    </w:p>
    <w:p>
      <w:pPr>
        <w:pStyle w:val="Heading1"/>
      </w:pPr>
      <w:r>
        <w:t>14. Overall Takeaway</w:t>
      </w:r>
    </w:p>
    <w:p>
      <w:r>
        <w:t>The project demonstrates an end-to-end computational biology and machine-learning workflow: integrating large public molecular and pharmacological datasets, resolving nontrivial sample duplication, constructing a high-dimensional modeling matrix, applying regularized and nonlinear regression methods, diagnosing generalization and overfitting, and converting a detailed single-drug analysis into a reusable multi-drug screening framework.</w:t>
      </w:r>
    </w:p>
    <w:p>
      <w:r>
        <w:t>The AZD2014 result is deliberately retained as a weak-prediction result rather than being hidden or overfit. The project therefore emphasizes reproducible analysis and appropriate interpretation in addition to model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DepMap / PRISM Drug-Response Prediction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