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EXECUTIVE SUMMARY</w:t>
      </w:r>
    </w:p>
    <w:p>
      <w:pPr>
        <w:jc w:val="center"/>
      </w:pPr>
      <w:r>
        <w:t>Nassau Candy Distributor | Product Line Profitability &amp; Margin Performance</w:t>
      </w:r>
    </w:p>
    <w:p>
      <w:pPr>
        <w:pStyle w:val="Heading1"/>
      </w:pPr>
      <w:r>
        <w:t>Purpose</w:t>
      </w:r>
    </w:p>
    <w:p>
      <w:r>
        <w:t>This project reviews product and division gross profitability to help decision-makers focus on the revenue drivers, profit contributors, and products that may require pricing or cost review.</w:t>
      </w:r>
    </w:p>
    <w:p>
      <w:pPr>
        <w:pStyle w:val="Heading1"/>
      </w:pPr>
      <w:r>
        <w:t>Headline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$141,783.63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$48,340.83</w:t>
            </w:r>
          </w:p>
        </w:tc>
      </w:tr>
      <w:tr>
        <w:tc>
          <w:tcPr>
            <w:tcW w:type="dxa" w:w="4320"/>
          </w:tcPr>
          <w:p>
            <w:r>
              <w:t>Gross profit</w:t>
            </w:r>
          </w:p>
        </w:tc>
        <w:tc>
          <w:tcPr>
            <w:tcW w:type="dxa" w:w="4320"/>
          </w:tcPr>
          <w:p>
            <w:r>
              <w:t>$93,442.80</w:t>
            </w:r>
          </w:p>
        </w:tc>
      </w:tr>
      <w:tr>
        <w:tc>
          <w:tcPr>
            <w:tcW w:type="dxa" w:w="4320"/>
          </w:tcPr>
          <w:p>
            <w:r>
              <w:t>Weighted gross margin</w:t>
            </w:r>
          </w:p>
        </w:tc>
        <w:tc>
          <w:tcPr>
            <w:tcW w:type="dxa" w:w="4320"/>
          </w:tcPr>
          <w:p>
            <w:r>
              <w:t>65.91%</w:t>
            </w:r>
          </w:p>
        </w:tc>
      </w:tr>
      <w:tr>
        <w:tc>
          <w:tcPr>
            <w:tcW w:type="dxa" w:w="4320"/>
          </w:tcPr>
          <w:p>
            <w:r>
              <w:t>Products analyzed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>
      <w:pPr>
        <w:pStyle w:val="Heading1"/>
      </w:pPr>
      <w:r>
        <w:t>What the analysis indicates</w:t>
      </w:r>
    </w:p>
    <w:p>
      <w:pPr>
        <w:pStyle w:val="ListBullet"/>
      </w:pPr>
      <w:r>
        <w:t>Chocolate contributes the most gross profit among the divisions reviewed.</w:t>
      </w:r>
    </w:p>
    <w:p>
      <w:pPr>
        <w:pStyle w:val="ListBullet"/>
      </w:pPr>
      <w:r>
        <w:t>Chocolate has the highest division-level gross margin (67.45%).</w:t>
      </w:r>
    </w:p>
    <w:p>
      <w:pPr>
        <w:pStyle w:val="ListBullet"/>
      </w:pPr>
      <w:r>
        <w:t>The top five products by sales account for 92.9% of revenue; the top five by gross profit account for 95.1% of gross profit.</w:t>
      </w:r>
    </w:p>
    <w:p>
      <w:pPr>
        <w:pStyle w:val="ListBullet"/>
      </w:pPr>
      <w:r>
        <w:t>0 products have negative aggregate gross profit; 1 products are below the illustrative 20% margin screen.</w:t>
      </w:r>
    </w:p>
    <w:p>
      <w:pPr>
        <w:pStyle w:val="Heading1"/>
      </w:pPr>
      <w:r>
        <w:t>Recommended actions</w:t>
      </w:r>
    </w:p>
    <w:p>
      <w:pPr>
        <w:pStyle w:val="ListNumber"/>
      </w:pPr>
      <w:r>
        <w:t>Prioritize review of high-sales products with weak margins.</w:t>
      </w:r>
    </w:p>
    <w:p>
      <w:pPr>
        <w:pStyle w:val="ListNumber"/>
      </w:pPr>
      <w:r>
        <w:t>Use supplier negotiations and cost-component checks where costs are disproportionately high.</w:t>
      </w:r>
    </w:p>
    <w:p>
      <w:pPr>
        <w:pStyle w:val="ListNumber"/>
      </w:pPr>
      <w:r>
        <w:t>Set a management-approved margin target and flag products below it in Power BI.</w:t>
      </w:r>
    </w:p>
    <w:p>
      <w:pPr>
        <w:pStyle w:val="ListNumber"/>
      </w:pPr>
      <w:r>
        <w:t>Monitor dependence on the products that generate the largest share of sales and gross profit.</w:t>
      </w:r>
    </w:p>
    <w:p>
      <w:pPr>
        <w:pStyle w:val="ListNumber"/>
      </w:pPr>
      <w:r>
        <w:t>Verify date fields and reconcile the headline totals with source-system reports before operational use.</w:t>
      </w:r>
    </w:p>
    <w:p>
      <w:pPr>
        <w:pStyle w:val="Heading1"/>
      </w:pPr>
      <w:r>
        <w:t>Important caveat</w:t>
      </w:r>
    </w:p>
    <w:p>
      <w:r>
        <w:t>This report analyzes gross profit, not net profit. The 20% margin screen is illustrative, not a prescribed target. Date quality should be validated before drawing time-trend conclusions.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