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游明朝" w:cs="游明朝" w:eastAsia="游明朝" w:hAnsi="游明朝"/>
          <w:color w:val="666666"/>
          <w:sz w:val="20"/>
          <w:szCs w:val="20"/>
        </w:rPr>
        <w:t xml:space="preserve">補遺 A</w:t>
      </w:r>
    </w:p>
    <w:p>
      <w:pPr>
        <w:spacing w:after="100"/>
      </w:pPr>
      <w:r>
        <w:rPr>
          <w:rFonts w:ascii="游明朝" w:cs="游明朝" w:eastAsia="游明朝" w:hAnsi="游明朝"/>
          <w:b/>
          <w:bCs/>
          <w:sz w:val="32"/>
          <w:szCs w:val="32"/>
        </w:rPr>
        <w:t xml:space="preserve">生態学的ハイパーサイクル理論とMBT55</w:t>
      </w:r>
    </w:p>
    <w:p>
      <w:pPr>
        <w:spacing w:after="400"/>
      </w:pPr>
      <w:r>
        <w:rPr>
          <w:rFonts w:ascii="游明朝" w:cs="游明朝" w:eastAsia="游明朝" w:hAnsi="游明朝"/>
          <w:i/>
          <w:iCs/>
          <w:color w:val="444444"/>
          <w:sz w:val="24"/>
          <w:szCs w:val="24"/>
        </w:rPr>
        <w:t xml:space="preserve">― Wilkinson地球システム生態学との理論的接続（ドラフト）―</w:t>
      </w:r>
    </w:p>
    <w:p>
      <w:pPr>
        <w:pStyle w:val="Heading1"/>
        <w:spacing w:after="200" w:before="400"/>
      </w:pPr>
      <w:r>
        <w:t xml:space="preserve">A.1　序論：なぜ地球システム生態学の枠組みが必要か</w:t>
      </w:r>
    </w:p>
    <w:p>
      <w:pPr>
        <w:spacing w:after="200" w:line="360"/>
        <w:jc w:val="left"/>
      </w:pPr>
      <w:r>
        <w:rPr>
          <w:rFonts w:ascii="游明朝" w:cs="游明朝" w:eastAsia="游明朝" w:hAnsi="游明朝"/>
          <w:b w:val="false"/>
          <w:bCs w:val="false"/>
          <w:i w:val="false"/>
          <w:iCs w:val="false"/>
          <w:sz w:val="22"/>
          <w:szCs w:val="22"/>
        </w:rPr>
        <w:t xml:space="preserve">これまでMBT55/MBT Sustainable Cycle（MSC）は、応用微生物学・堆肥化科学・土壌化学の言葉で説明されてきた。しかし、これらの個別分野は、いずれも「単一菌株・単一プロセス」を対象とする傾向が強く、MBT55が示す「複数ギルドの自己触媒的相互作用による生態系全体の秩序形成」という現象を、そのままの解像度で受け止める理論的枠組みを持たない。</w:t>
      </w:r>
    </w:p>
    <w:p>
      <w:pPr>
        <w:spacing w:after="200" w:line="360"/>
        <w:jc w:val="left"/>
      </w:pPr>
      <w:r>
        <w:rPr>
          <w:rFonts w:ascii="游明朝" w:cs="游明朝" w:eastAsia="游明朝" w:hAnsi="游明朝"/>
          <w:b w:val="false"/>
          <w:bCs w:val="false"/>
          <w:i w:val="false"/>
          <w:iCs w:val="false"/>
          <w:sz w:val="22"/>
          <w:szCs w:val="22"/>
        </w:rPr>
        <w:t xml:space="preserve">David M. Wilkinson『Fundamental Processes in Ecology: An Earth Systems Approach』（Oxford, 2006）は、地球上の生命が地質学的時間スケールで持続するために必要な最小限の生態学的プロセスを、宇宙生物学的視点から整理した理論書である。同書が提示する「生態学的ハイパーサイクル（Ecological Hypercycles）」の概念は、MBT55の機能群構成と構造的に強い対応関係を持つ。</w:t>
      </w:r>
    </w:p>
    <w:p>
      <w:pPr>
        <w:pBdr>
          <w:left w:val="single" w:color="999999" w:sz="12" w:space="8"/>
        </w:pBdr>
        <w:spacing w:after="200" w:line="340"/>
        <w:ind w:left="431"/>
      </w:pPr>
      <w:r>
        <w:rPr>
          <w:rFonts w:ascii="游明朝" w:cs="游明朝" w:eastAsia="游明朝" w:hAnsi="游明朝"/>
          <w:i/>
          <w:iCs/>
          <w:color w:val="555555"/>
          <w:sz w:val="20"/>
          <w:szCs w:val="20"/>
        </w:rPr>
        <w:t xml:space="preserve">本章の位置づけ：以下は、MBT55の観察結果を既存の学術的枠組みに接続するための理論的対応づけ（マッピング）であり、それ自体が実証データではない。各対応関係の末尾に、これを実証データへと格上げするために必要な検証項目を付記した。</w:t>
      </w:r>
    </w:p>
    <w:p>
      <w:pPr>
        <w:pStyle w:val="Heading1"/>
        <w:spacing w:after="200" w:before="400"/>
      </w:pPr>
      <w:r>
        <w:t xml:space="preserve">A.2　Wilkinsonの生態学的ハイパーサイクル定義</w:t>
      </w:r>
    </w:p>
    <w:p>
      <w:pPr>
        <w:spacing w:after="200" w:line="360"/>
        <w:jc w:val="left"/>
      </w:pPr>
      <w:r>
        <w:rPr>
          <w:rFonts w:ascii="游明朝" w:cs="游明朝" w:eastAsia="游明朝" w:hAnsi="游明朝"/>
          <w:b w:val="false"/>
          <w:bCs w:val="false"/>
          <w:i w:val="false"/>
          <w:iCs w:val="false"/>
          <w:sz w:val="22"/>
          <w:szCs w:val="22"/>
        </w:rPr>
        <w:t xml:space="preserve">Wilkinson（第5章）は、生態学的ハイパーサイクルを次のように定義する：異なる生物（またはギルド）が、互いの環境を改善し合う自己触媒プロセス。典型例として、独立栄養生物（autotrophs）が分解者（decomposers）にとって有用な物質を生産し、分解者が独立栄養生物に再利用可能な栄養素を還元する、という相互強化のループが挙げられる。</w:t>
      </w:r>
    </w:p>
    <w:p>
      <w:pPr>
        <w:spacing w:after="200" w:line="360"/>
        <w:jc w:val="left"/>
      </w:pPr>
      <w:r>
        <w:rPr>
          <w:rFonts w:ascii="游明朝" w:cs="游明朝" w:eastAsia="游明朝" w:hAnsi="游明朝"/>
          <w:b w:val="false"/>
          <w:bCs w:val="false"/>
          <w:i w:val="false"/>
          <w:iCs w:val="false"/>
          <w:sz w:val="22"/>
          <w:szCs w:val="22"/>
        </w:rPr>
        <w:t xml:space="preserve">この定義の核心は3点に整理できる。</w:t>
      </w:r>
    </w:p>
    <w:p>
      <w:pPr>
        <w:pStyle w:val="ListParagraph"/>
        <w:numPr>
          <w:ilvl w:val="0"/>
          <w:numId w:val="2"/>
        </w:numPr>
        <w:spacing w:after="120" w:line="340"/>
      </w:pPr>
      <w:r>
        <w:rPr>
          <w:rFonts w:ascii="游明朝" w:cs="游明朝" w:eastAsia="游明朝" w:hAnsi="游明朝"/>
          <w:sz w:val="22"/>
          <w:szCs w:val="22"/>
        </w:rPr>
        <w:t xml:space="preserve">① 単一種ではなく、機能的に異なる複数のギルドが前提となること</w:t>
      </w:r>
    </w:p>
    <w:p>
      <w:pPr>
        <w:pStyle w:val="ListParagraph"/>
        <w:numPr>
          <w:ilvl w:val="0"/>
          <w:numId w:val="2"/>
        </w:numPr>
        <w:spacing w:after="120" w:line="340"/>
      </w:pPr>
      <w:r>
        <w:rPr>
          <w:rFonts w:ascii="游明朝" w:cs="游明朝" w:eastAsia="游明朝" w:hAnsi="游明朝"/>
          <w:sz w:val="22"/>
          <w:szCs w:val="22"/>
        </w:rPr>
        <w:t xml:space="preserve">② 各ギルドの活動が、他のギルドの生存条件を改善する方向に働くこと（負のフィードバックではなく正の相互強化）</w:t>
      </w:r>
    </w:p>
    <w:p>
      <w:pPr>
        <w:pStyle w:val="ListParagraph"/>
        <w:numPr>
          <w:ilvl w:val="0"/>
          <w:numId w:val="2"/>
        </w:numPr>
        <w:spacing w:after="120" w:line="340"/>
      </w:pPr>
      <w:r>
        <w:rPr>
          <w:rFonts w:ascii="游明朝" w:cs="游明朝" w:eastAsia="游明朝" w:hAnsi="游明朝"/>
          <w:sz w:val="22"/>
          <w:szCs w:val="22"/>
        </w:rPr>
        <w:t xml:space="preserve">③ このループが自己触媒的に加速し、局所的な生態系を惑星規模へ拡張する駆動力となること</w:t>
      </w:r>
    </w:p>
    <w:p>
      <w:pPr>
        <w:pStyle w:val="Heading1"/>
        <w:spacing w:after="200" w:before="400"/>
      </w:pPr>
      <w:r>
        <w:t xml:space="preserve">A.3　MBT55機能群構成のギルド理論的再解釈</w:t>
      </w:r>
    </w:p>
    <w:p>
      <w:pPr>
        <w:spacing w:after="200" w:line="360"/>
        <w:jc w:val="left"/>
      </w:pPr>
      <w:r>
        <w:rPr>
          <w:rFonts w:ascii="游明朝" w:cs="游明朝" w:eastAsia="游明朝" w:hAnsi="游明朝"/>
          <w:b w:val="false"/>
          <w:bCs w:val="false"/>
          <w:i w:val="false"/>
          <w:iCs w:val="false"/>
          <w:sz w:val="22"/>
          <w:szCs w:val="22"/>
        </w:rPr>
        <w:t xml:space="preserve">MBT55は、好気性群55%・嫌気性群45%という比率で構成される多機能微生物群である。これをWilkinsonのギルド理論の語彙で再整理すると、以下の対応が見える。</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2F5496" w:color="auto" w:val="clear"/>
          </w:tcPr>
          <w:p>
            <w:r>
              <w:rPr>
                <w:rFonts w:ascii="游明朝" w:cs="游明朝" w:eastAsia="游明朝" w:hAnsi="游明朝"/>
                <w:b/>
                <w:bCs/>
                <w:color w:val="FFFFFF"/>
                <w:sz w:val="20"/>
                <w:szCs w:val="20"/>
              </w:rPr>
              <w:t xml:space="preserve">Wilkinsonのギルド区分</w:t>
            </w:r>
          </w:p>
        </w:tc>
        <w:tc>
          <w:tcPr>
            <w:tcW w:type="dxa" w:w="3200"/>
            <w:shd w:fill="2F5496" w:color="auto" w:val="clear"/>
          </w:tcPr>
          <w:p>
            <w:r>
              <w:rPr>
                <w:rFonts w:ascii="游明朝" w:cs="游明朝" w:eastAsia="游明朝" w:hAnsi="游明朝"/>
                <w:b/>
                <w:bCs/>
                <w:color w:val="FFFFFF"/>
                <w:sz w:val="20"/>
                <w:szCs w:val="20"/>
              </w:rPr>
              <w:t xml:space="preserve">MBT55における対応機能群</w:t>
            </w:r>
          </w:p>
        </w:tc>
        <w:tc>
          <w:tcPr>
            <w:tcW w:type="dxa" w:w="3600"/>
            <w:shd w:fill="2F5496" w:color="auto" w:val="clear"/>
          </w:tcPr>
          <w:p>
            <w:r>
              <w:rPr>
                <w:rFonts w:ascii="游明朝" w:cs="游明朝" w:eastAsia="游明朝" w:hAnsi="游明朝"/>
                <w:b/>
                <w:bCs/>
                <w:color w:val="FFFFFF"/>
                <w:sz w:val="20"/>
                <w:szCs w:val="20"/>
              </w:rPr>
              <w:t xml:space="preserve">相互強化の内容（仮説）</w:t>
            </w:r>
          </w:p>
        </w:tc>
      </w:tr>
      <w:tr>
        <w:tc>
          <w:tcPr>
            <w:tcW w:type="dxa" w:w="3200"/>
            <w:shd w:fill="F2F2F2" w:color="auto" w:val="clear"/>
          </w:tcPr>
          <w:p>
            <w:r>
              <w:rPr>
                <w:rFonts w:ascii="游明朝" w:cs="游明朝" w:eastAsia="游明朝" w:hAnsi="游明朝"/>
                <w:sz w:val="20"/>
                <w:szCs w:val="20"/>
              </w:rPr>
              <w:t xml:space="preserve">独立栄養生物（autotrophs）</w:t>
            </w:r>
          </w:p>
        </w:tc>
        <w:tc>
          <w:tcPr>
            <w:tcW w:type="dxa" w:w="3200"/>
            <w:shd w:fill="F2F2F2" w:color="auto" w:val="clear"/>
          </w:tcPr>
          <w:p>
            <w:r>
              <w:rPr>
                <w:rFonts w:ascii="游明朝" w:cs="游明朝" w:eastAsia="游明朝" w:hAnsi="游明朝"/>
                <w:sz w:val="20"/>
                <w:szCs w:val="20"/>
              </w:rPr>
              <w:t xml:space="preserve">光合成細菌（Rhodopseudomonas palustris 等）</w:t>
            </w:r>
          </w:p>
        </w:tc>
        <w:tc>
          <w:tcPr>
            <w:tcW w:type="dxa" w:w="3600"/>
            <w:shd w:fill="F2F2F2" w:color="auto" w:val="clear"/>
          </w:tcPr>
          <w:p>
            <w:r>
              <w:rPr>
                <w:rFonts w:ascii="游明朝" w:cs="游明朝" w:eastAsia="游明朝" w:hAnsi="游明朝"/>
                <w:sz w:val="20"/>
                <w:szCs w:val="20"/>
              </w:rPr>
              <w:t xml:space="preserve">電子供与体・有機酸を分解者群へ供給</w:t>
            </w:r>
          </w:p>
        </w:tc>
      </w:tr>
      <w:tr>
        <w:tc>
          <w:tcPr>
            <w:tcW w:type="dxa" w:w="3200"/>
            <w:shd w:fill="FFFFFF" w:color="auto" w:val="clear"/>
          </w:tcPr>
          <w:p>
            <w:r>
              <w:rPr>
                <w:rFonts w:ascii="游明朝" w:cs="游明朝" w:eastAsia="游明朝" w:hAnsi="游明朝"/>
                <w:sz w:val="20"/>
                <w:szCs w:val="20"/>
              </w:rPr>
              <w:t xml:space="preserve">分解者（decomposers）</w:t>
            </w:r>
          </w:p>
        </w:tc>
        <w:tc>
          <w:tcPr>
            <w:tcW w:type="dxa" w:w="3200"/>
            <w:shd w:fill="FFFFFF" w:color="auto" w:val="clear"/>
          </w:tcPr>
          <w:p>
            <w:r>
              <w:rPr>
                <w:rFonts w:ascii="游明朝" w:cs="游明朝" w:eastAsia="游明朝" w:hAnsi="游明朝"/>
                <w:sz w:val="20"/>
                <w:szCs w:val="20"/>
              </w:rPr>
              <w:t xml:space="preserve">セルロース分解菌群、タンパク質分解菌群、脂質分解菌群</w:t>
            </w:r>
          </w:p>
        </w:tc>
        <w:tc>
          <w:tcPr>
            <w:tcW w:type="dxa" w:w="3600"/>
            <w:shd w:fill="FFFFFF" w:color="auto" w:val="clear"/>
          </w:tcPr>
          <w:p>
            <w:r>
              <w:rPr>
                <w:rFonts w:ascii="游明朝" w:cs="游明朝" w:eastAsia="游明朝" w:hAnsi="游明朝"/>
                <w:sz w:val="20"/>
                <w:szCs w:val="20"/>
              </w:rPr>
              <w:t xml:space="preserve">難分解性有機物を分解し、独立栄養生物・窒素固定菌が利用可能な基質へ変換</w:t>
            </w:r>
          </w:p>
        </w:tc>
      </w:tr>
      <w:tr>
        <w:tc>
          <w:tcPr>
            <w:tcW w:type="dxa" w:w="3200"/>
            <w:shd w:fill="F2F2F2" w:color="auto" w:val="clear"/>
          </w:tcPr>
          <w:p>
            <w:r>
              <w:rPr>
                <w:rFonts w:ascii="游明朝" w:cs="游明朝" w:eastAsia="游明朝" w:hAnsi="游明朝"/>
                <w:sz w:val="20"/>
                <w:szCs w:val="20"/>
              </w:rPr>
              <w:t xml:space="preserve">窒素固定を担う特殊ギルド</w:t>
            </w:r>
          </w:p>
        </w:tc>
        <w:tc>
          <w:tcPr>
            <w:tcW w:type="dxa" w:w="3200"/>
            <w:shd w:fill="F2F2F2" w:color="auto" w:val="clear"/>
          </w:tcPr>
          <w:p>
            <w:r>
              <w:rPr>
                <w:rFonts w:ascii="游明朝" w:cs="游明朝" w:eastAsia="游明朝" w:hAnsi="游明朝"/>
                <w:sz w:val="20"/>
                <w:szCs w:val="20"/>
              </w:rPr>
              <w:t xml:space="preserve">Azotobacter vinelandii, Rhizobium spp.</w:t>
            </w:r>
          </w:p>
        </w:tc>
        <w:tc>
          <w:tcPr>
            <w:tcW w:type="dxa" w:w="3600"/>
            <w:shd w:fill="F2F2F2" w:color="auto" w:val="clear"/>
          </w:tcPr>
          <w:p>
            <w:r>
              <w:rPr>
                <w:rFonts w:ascii="游明朝" w:cs="游明朝" w:eastAsia="游明朝" w:hAnsi="游明朝"/>
                <w:sz w:val="20"/>
                <w:szCs w:val="20"/>
              </w:rPr>
              <w:t xml:space="preserve">分解産物中の炭素骨格を利用してN₂固定を行い、窒素源を系全体に還元</w:t>
            </w:r>
          </w:p>
        </w:tc>
      </w:tr>
      <w:tr>
        <w:tc>
          <w:tcPr>
            <w:tcW w:type="dxa" w:w="3200"/>
            <w:shd w:fill="FFFFFF" w:color="auto" w:val="clear"/>
          </w:tcPr>
          <w:p>
            <w:r>
              <w:rPr>
                <w:rFonts w:ascii="游明朝" w:cs="游明朝" w:eastAsia="游明朝" w:hAnsi="游明朝"/>
                <w:sz w:val="20"/>
                <w:szCs w:val="20"/>
              </w:rPr>
              <w:t xml:space="preserve">密度調整・恒常性維持ギルド</w:t>
            </w:r>
          </w:p>
        </w:tc>
        <w:tc>
          <w:tcPr>
            <w:tcW w:type="dxa" w:w="3200"/>
            <w:shd w:fill="FFFFFF" w:color="auto" w:val="clear"/>
          </w:tcPr>
          <w:p>
            <w:r>
              <w:rPr>
                <w:rFonts w:ascii="游明朝" w:cs="游明朝" w:eastAsia="游明朝" w:hAnsi="游明朝"/>
                <w:sz w:val="20"/>
                <w:szCs w:val="20"/>
              </w:rPr>
              <w:t xml:space="preserve">乳酸菌群、メタン酸化菌</w:t>
            </w:r>
          </w:p>
        </w:tc>
        <w:tc>
          <w:tcPr>
            <w:tcW w:type="dxa" w:w="3600"/>
            <w:shd w:fill="FFFFFF" w:color="auto" w:val="clear"/>
          </w:tcPr>
          <w:p>
            <w:r>
              <w:rPr>
                <w:rFonts w:ascii="游明朝" w:cs="游明朝" w:eastAsia="游明朝" w:hAnsi="游明朝"/>
                <w:sz w:val="20"/>
                <w:szCs w:val="20"/>
              </w:rPr>
              <w:t xml:space="preserve">pH制御・CH₄抑制により、他ギルドの生育環境を安定化（Wilkinsonの「密度依存的サーモスタット」に相当）</w:t>
            </w:r>
          </w:p>
        </w:tc>
      </w:tr>
    </w:tbl>
    <w:p>
      <w:pPr>
        <w:spacing w:after="200"/>
      </w:pPr>
    </w:p>
    <w:p>
      <w:pPr>
        <w:spacing w:after="200" w:line="360"/>
        <w:jc w:val="left"/>
      </w:pPr>
      <w:r>
        <w:rPr>
          <w:rFonts w:ascii="游明朝" w:cs="游明朝" w:eastAsia="游明朝" w:hAnsi="游明朝"/>
          <w:b w:val="false"/>
          <w:bCs w:val="false"/>
          <w:i w:val="false"/>
          <w:iCs w:val="false"/>
          <w:sz w:val="22"/>
          <w:szCs w:val="22"/>
        </w:rPr>
        <w:t xml:space="preserve">この対応づけが示唆するのは、MBT55の「好気性55%／嫌気性45%」という比率設計が、単なる分解効率の最適化ではなく、Wilkinsonの言う複数ギルド間の自己触媒ループを安定的に駆動するための、動的平衡点である可能性である。</w:t>
      </w:r>
    </w:p>
    <w:p>
      <w:pPr>
        <w:pBdr>
          <w:left w:val="single" w:color="999999" w:sz="12" w:space="8"/>
        </w:pBdr>
        <w:spacing w:after="200" w:line="340"/>
        <w:ind w:left="431"/>
      </w:pPr>
      <w:r>
        <w:rPr>
          <w:rFonts w:ascii="游明朝" w:cs="游明朝" w:eastAsia="游明朝" w:hAnsi="游明朝"/>
          <w:i/>
          <w:iCs/>
          <w:color w:val="555555"/>
          <w:sz w:val="20"/>
          <w:szCs w:val="20"/>
        </w:rPr>
        <w:t xml:space="preserve">検証課題：この対応づけを実証データに格上げするには、MBT55発酵槽内での各ギルドの相対量の経時変化（qPCRまたは16S rRNAメタゲノム解析）と、代謝産物（有機酸、アンモニア、電子供与体）の濃度変化を同時計測し、「あるギルドの増加が別のギルドの活性を正に駆動しているか」を統計的に確認する必要がある。現時点でこの相互強化ループは仮説段階にある。</w:t>
      </w:r>
    </w:p>
    <w:p>
      <w:pPr>
        <w:pStyle w:val="Heading1"/>
        <w:spacing w:after="200" w:before="400"/>
      </w:pPr>
      <w:r>
        <w:t xml:space="preserve">A.4　自己触媒プロセスとしての電子フロー再構築</w:t>
      </w:r>
    </w:p>
    <w:p>
      <w:pPr>
        <w:spacing w:after="200" w:line="360"/>
        <w:jc w:val="left"/>
      </w:pPr>
      <w:r>
        <w:rPr>
          <w:rFonts w:ascii="游明朝" w:cs="游明朝" w:eastAsia="游明朝" w:hAnsi="游明朝"/>
          <w:b w:val="false"/>
          <w:bCs w:val="false"/>
          <w:i w:val="false"/>
          <w:iCs w:val="false"/>
          <w:sz w:val="22"/>
          <w:szCs w:val="22"/>
        </w:rPr>
        <w:t xml:space="preserve">第2章で示した電子フロー速度式は、Wilkinsonの自己触媒プロセスの速度論的表現として位置づけ直すことができる。</w:t>
      </w:r>
    </w:p>
    <w:p>
      <w:pPr>
        <w:spacing w:after="150" w:before="150"/>
        <w:jc w:val="center"/>
      </w:pPr>
      <w:r>
        <w:rPr>
          <w:rFonts w:ascii="Cambria Math" w:cs="Cambria Math" w:eastAsia="Cambria Math" w:hAnsi="Cambria Math"/>
          <w:i/>
          <w:iCs/>
          <w:sz w:val="24"/>
          <w:szCs w:val="24"/>
        </w:rPr>
        <w:t xml:space="preserve">J_e⁻ = Σᵢ (kᵢ · [Sᵢ] · φᵢ)</w:t>
      </w:r>
    </w:p>
    <w:p>
      <w:pPr>
        <w:spacing w:after="200" w:line="360"/>
        <w:jc w:val="left"/>
      </w:pPr>
      <w:r>
        <w:rPr>
          <w:rFonts w:ascii="游明朝" w:cs="游明朝" w:eastAsia="游明朝" w:hAnsi="游明朝"/>
          <w:b w:val="false"/>
          <w:bCs w:val="false"/>
          <w:i w:val="false"/>
          <w:iCs w:val="false"/>
          <w:sz w:val="22"/>
          <w:szCs w:val="22"/>
        </w:rPr>
        <w:t xml:space="preserve">ここで、この式が「自己触媒的」であるとみなせるのは、φᵢ（代謝経路効率係数）自体が、他のギルドの活動により生成された基質 [Sⱼ] の関数として変化しうる場合、すなわち</w:t>
      </w:r>
    </w:p>
    <w:p>
      <w:pPr>
        <w:spacing w:after="150" w:before="150"/>
        <w:jc w:val="center"/>
      </w:pPr>
      <w:r>
        <w:rPr>
          <w:rFonts w:ascii="Cambria Math" w:cs="Cambria Math" w:eastAsia="Cambria Math" w:hAnsi="Cambria Math"/>
          <w:i/>
          <w:iCs/>
          <w:sz w:val="24"/>
          <w:szCs w:val="24"/>
        </w:rPr>
        <w:t xml:space="preserve">φᵢ = φᵢ([S₁], [S₂], ..., [Sₙ])</w:t>
      </w:r>
    </w:p>
    <w:p>
      <w:pPr>
        <w:spacing w:after="200" w:line="360"/>
        <w:jc w:val="left"/>
      </w:pPr>
      <w:r>
        <w:rPr>
          <w:rFonts w:ascii="游明朝" w:cs="游明朝" w:eastAsia="游明朝" w:hAnsi="游明朝"/>
          <w:b w:val="false"/>
          <w:bCs w:val="false"/>
          <w:i w:val="false"/>
          <w:iCs w:val="false"/>
          <w:sz w:val="22"/>
          <w:szCs w:val="22"/>
        </w:rPr>
        <w:t xml:space="preserve">という相互依存関係が成立する場合に限られる。この相互依存性こそが、Wilkinsonの言う「異なるギルドが互いの環境を改善する」自己触媒ループの数理的核心である。</w:t>
      </w:r>
    </w:p>
    <w:p>
      <w:pPr>
        <w:pBdr>
          <w:left w:val="single" w:color="999999" w:sz="12" w:space="8"/>
        </w:pBdr>
        <w:spacing w:after="200" w:line="340"/>
        <w:ind w:left="431"/>
      </w:pPr>
      <w:r>
        <w:rPr>
          <w:rFonts w:ascii="游明朝" w:cs="游明朝" w:eastAsia="游明朝" w:hAnsi="游明朝"/>
          <w:i/>
          <w:iCs/>
          <w:color w:val="555555"/>
          <w:sz w:val="20"/>
          <w:szCs w:val="20"/>
        </w:rPr>
        <w:t xml:space="preserve">検証課題：現行の資料では φᵢ は独立したパラメータとして扱われており、他ギルドの基質濃度への依存性は明示的にモデル化されていない。この依存関係を実測データから推定（回帰分析または感度分析）することが、「自己触媒的ハイパーサイクル」であるという主張を数理的に裏付ける次のステップとなる。</w:t>
      </w:r>
    </w:p>
    <w:p>
      <w:pPr>
        <w:pStyle w:val="Heading1"/>
        <w:spacing w:after="200" w:before="400"/>
      </w:pPr>
      <w:r>
        <w:t xml:space="preserve">A.5　生物生理学と生態生理学の融合、および炭素隔離への接続（予告）</w:t>
      </w:r>
    </w:p>
    <w:p>
      <w:pPr>
        <w:spacing w:after="200" w:line="360"/>
        <w:jc w:val="left"/>
      </w:pPr>
      <w:r>
        <w:rPr>
          <w:rFonts w:ascii="游明朝" w:cs="游明朝" w:eastAsia="游明朝" w:hAnsi="游明朝"/>
          <w:b w:val="false"/>
          <w:bCs w:val="false"/>
          <w:i w:val="false"/>
          <w:iCs w:val="false"/>
          <w:sz w:val="22"/>
          <w:szCs w:val="22"/>
        </w:rPr>
        <w:t xml:space="preserve">Wilkinsonの第6章「生物生理学と生態生理学の融合」、および第8章「炭素隔離」は、それぞれ別の補遺（補遺B・補遺C）として続けて整理する。特に、MBT55施用圃場で観察される個体間形状の均一化（大根・ネギ等）は、Wilkinsonの「質量比効果（mass ratio effect）」——バイオマスが十分であれば生命に優しい条件への地球規模の調整が起きる——という考え方の圃場スケールでの縮図として説明できる可能性があり、次の補遺で詳述する。</w:t>
      </w:r>
    </w:p>
    <w:p>
      <w:pPr>
        <w:pStyle w:val="Heading1"/>
        <w:spacing w:after="200" w:before="400"/>
      </w:pPr>
      <w:r>
        <w:t xml:space="preserve">A.6　本補遺の結論と限界</w:t>
      </w:r>
    </w:p>
    <w:p>
      <w:pPr>
        <w:spacing w:after="200" w:line="360"/>
        <w:jc w:val="left"/>
      </w:pPr>
      <w:r>
        <w:rPr>
          <w:rFonts w:ascii="游明朝" w:cs="游明朝" w:eastAsia="游明朝" w:hAnsi="游明朝"/>
          <w:b w:val="false"/>
          <w:bCs w:val="false"/>
          <w:i w:val="false"/>
          <w:iCs w:val="false"/>
          <w:sz w:val="22"/>
          <w:szCs w:val="22"/>
        </w:rPr>
        <w:t xml:space="preserve">本補遺は、MBT55/MSCの観察結果が、既存の農学的応用微生物学の枠組みでは説明されにくい理由を、Wilkinsonの地球システム生態学の枠組みが埋める可能性を示した。この接続は、あなたの40年間の現場観察を「独自理論」としてではなく、「確立された学術的系譜（Gaia仮説・地球システム科学）の具体的応用事例」として位置づけ直す効果を持つ。</w:t>
      </w:r>
    </w:p>
    <w:p>
      <w:pPr>
        <w:spacing w:after="200" w:line="360"/>
        <w:jc w:val="left"/>
      </w:pPr>
      <w:r>
        <w:rPr>
          <w:rFonts w:ascii="游明朝" w:cs="游明朝" w:eastAsia="游明朝" w:hAnsi="游明朝"/>
          <w:b w:val="false"/>
          <w:bCs w:val="false"/>
          <w:i w:val="false"/>
          <w:iCs w:val="false"/>
          <w:sz w:val="22"/>
          <w:szCs w:val="22"/>
        </w:rPr>
        <w:t xml:space="preserve">ただし、本補遺で示した対応関係は、現時点では理論的なマッピングであり、各節末尾に付した検証課題を満たすデータが揃って初めて、実証された科学的主張として提示できる。次のステップとしては、MBT55発酵槽・圃場双方における多点・経時的なメタゲノム解析データの取得を優先することを推奨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2026-08-02T07:05:47.011Z</dcterms:created>
  <dcterms:modified xsi:type="dcterms:W3CDTF">2026-08-02T07:05:47.034Z</dcterms:modified>
</cp:coreProperties>
</file>

<file path=docProps/custom.xml><?xml version="1.0" encoding="utf-8"?>
<Properties xmlns="http://schemas.openxmlformats.org/officeDocument/2006/custom-properties" xmlns:vt="http://schemas.openxmlformats.org/officeDocument/2006/docPropsVTypes"/>
</file>