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游明朝" w:cs="游明朝" w:eastAsia="游明朝" w:hAnsi="游明朝"/>
          <w:color w:val="666666"/>
          <w:sz w:val="20"/>
          <w:szCs w:val="20"/>
        </w:rPr>
        <w:t xml:space="preserve">補遺 B</w:t>
      </w:r>
    </w:p>
    <w:p>
      <w:pPr>
        <w:spacing w:after="100"/>
      </w:pPr>
      <w:r>
        <w:rPr>
          <w:rFonts w:ascii="游明朝" w:cs="游明朝" w:eastAsia="游明朝" w:hAnsi="游明朝"/>
          <w:b/>
          <w:bCs/>
          <w:sz w:val="32"/>
          <w:szCs w:val="32"/>
        </w:rPr>
        <w:t xml:space="preserve">生物生理学と生態生理学の融合とMBT55</w:t>
      </w:r>
    </w:p>
    <w:p>
      <w:pPr>
        <w:spacing w:after="400"/>
      </w:pPr>
      <w:r>
        <w:rPr>
          <w:rFonts w:ascii="游明朝" w:cs="游明朝" w:eastAsia="游明朝" w:hAnsi="游明朝"/>
          <w:i/>
          <w:iCs/>
          <w:color w:val="444444"/>
          <w:sz w:val="24"/>
          <w:szCs w:val="24"/>
        </w:rPr>
        <w:t xml:space="preserve">― 質量比効果（Mass Ratio Effect）による圃場スケール現象の説明（ドラフト）―</w:t>
      </w:r>
    </w:p>
    <w:p>
      <w:pPr>
        <w:pStyle w:val="Heading1"/>
        <w:spacing w:after="200" w:before="400"/>
      </w:pPr>
      <w:r>
        <w:t xml:space="preserve">B.1　序論：なぜ「個体」ではなく「質量」で考えるのか</w:t>
      </w:r>
    </w:p>
    <w:p>
      <w:pPr>
        <w:spacing w:after="200" w:line="360"/>
      </w:pPr>
      <w:r>
        <w:rPr>
          <w:rFonts w:ascii="游明朝" w:cs="游明朝" w:eastAsia="游明朝" w:hAnsi="游明朝"/>
          <w:b w:val="false"/>
          <w:bCs w:val="false"/>
          <w:i w:val="false"/>
          <w:iCs w:val="false"/>
          <w:sz w:val="22"/>
          <w:szCs w:val="22"/>
        </w:rPr>
        <w:t xml:space="preserve">補遺Aでは、MBT55の機能群構成をWilkinsonのギルド理論・生態学的ハイパーサイクルの語彙で再整理した。本補遺では、MBT55施用圃場で報告されている「個体間形状の顕著な均一化」（大根・ネギ等の長さ・太さの揃い）、および「地上部と地下部のバイオマス配分の劇的な変化」（里芋・ジャガイモ・サツマイモにおける葉の相対的縮小と貯蔵器官の増大）を、Wilkinson第6章「生物生理学と生態生理学の融合」の枠組みで検討する。</w:t>
      </w:r>
    </w:p>
    <w:p>
      <w:pPr>
        <w:pBdr>
          <w:left w:val="single" w:color="999999" w:sz="12" w:space="8"/>
        </w:pBdr>
        <w:spacing w:after="200" w:line="340"/>
        <w:ind w:left="431"/>
      </w:pPr>
      <w:r>
        <w:rPr>
          <w:rFonts w:ascii="游明朝" w:cs="游明朝" w:eastAsia="游明朝" w:hAnsi="游明朝"/>
          <w:i/>
          <w:iCs/>
          <w:color w:val="555555"/>
          <w:sz w:val="20"/>
          <w:szCs w:val="20"/>
        </w:rPr>
        <w:t xml:space="preserve">本章の位置づけ：以下は観察現象に対する理論的説明の候補（作業仮説）の提示であり、原因の確定ではない。他の説明（後述）と比較検証されるべきものである。</w:t>
      </w:r>
    </w:p>
    <w:p>
      <w:pPr>
        <w:pStyle w:val="Heading1"/>
        <w:spacing w:after="200" w:before="400"/>
      </w:pPr>
      <w:r>
        <w:t xml:space="preserve">B.2　Wilkinsonの「質量比効果」の定義</w:t>
      </w:r>
    </w:p>
    <w:p>
      <w:pPr>
        <w:spacing w:after="200" w:line="360"/>
      </w:pPr>
      <w:r>
        <w:rPr>
          <w:rFonts w:ascii="游明朝" w:cs="游明朝" w:eastAsia="游明朝" w:hAnsi="游明朝"/>
          <w:b w:val="false"/>
          <w:bCs w:val="false"/>
          <w:i w:val="false"/>
          <w:iCs w:val="false"/>
          <w:sz w:val="22"/>
          <w:szCs w:val="22"/>
        </w:rPr>
        <w:t xml:space="preserve">Wilkinsonは、個々の生物種の多様性よりも、系全体に存在するバイオマスの絶対量とその分布が、環境調整能力を規定するという考え方を「質量比効果（mass ratio effect）」として整理する。生物生理（個体レベルの代謝）と生態生理（生態系レベルの物質・エネルギーフロー）は、バイオマスが十分な規模に達したとき、切り離せないほど強く相互作用するようになる、というのが同章の核心である。</w:t>
      </w:r>
    </w:p>
    <w:p>
      <w:pPr>
        <w:spacing w:after="200" w:line="360"/>
      </w:pPr>
      <w:r>
        <w:rPr>
          <w:rFonts w:ascii="游明朝" w:cs="游明朝" w:eastAsia="游明朝" w:hAnsi="游明朝"/>
          <w:b w:val="false"/>
          <w:bCs w:val="false"/>
          <w:i w:val="false"/>
          <w:iCs w:val="false"/>
          <w:sz w:val="22"/>
          <w:szCs w:val="22"/>
        </w:rPr>
        <w:t xml:space="preserve">この考え方の重要な帰結は、「種の豊富さ」よりも「機能的バイオマスの量と均質性」が、系全体の調整力（ホメオスタシス）を決めるという点にある。個体ごとの遺伝的・環境的ばらつきがあっても、系全体を覆うバイオマス（この場合は土壌微生物叢）が十分に均質かつ高密度であれば、個体の表現型は収束する方向に働きうる。</w:t>
      </w:r>
    </w:p>
    <w:p>
      <w:pPr>
        <w:pStyle w:val="Heading1"/>
        <w:spacing w:after="200" w:before="400"/>
      </w:pPr>
      <w:r>
        <w:t xml:space="preserve">B.3　圃場スケールでの解釈：個体間形状の均一化</w:t>
      </w:r>
    </w:p>
    <w:p>
      <w:pPr>
        <w:spacing w:after="200" w:line="360"/>
      </w:pPr>
      <w:r>
        <w:rPr>
          <w:rFonts w:ascii="游明朝" w:cs="游明朝" w:eastAsia="游明朝" w:hAnsi="游明朝"/>
          <w:b w:val="false"/>
          <w:bCs w:val="false"/>
          <w:i w:val="false"/>
          <w:iCs w:val="false"/>
          <w:sz w:val="22"/>
          <w:szCs w:val="22"/>
        </w:rPr>
        <w:t xml:space="preserve">大根・ネギの長さ・太さが圃場全体で顕著に揃うという観察は、次の作業仮説で説明できる可能性がある。</w:t>
      </w:r>
    </w:p>
    <w:p>
      <w:pPr>
        <w:pStyle w:val="ListParagraph"/>
        <w:numPr>
          <w:ilvl w:val="0"/>
          <w:numId w:val="2"/>
        </w:numPr>
        <w:spacing w:after="120" w:line="340"/>
      </w:pPr>
      <w:r>
        <w:rPr>
          <w:rFonts w:ascii="游明朝" w:cs="游明朝" w:eastAsia="游明朝" w:hAnsi="游明朝"/>
          <w:sz w:val="22"/>
          <w:szCs w:val="22"/>
        </w:rPr>
        <w:t xml:space="preserve">通常の圃場では、土壌中の養分・水分・微生物相が不均質であり、個体ごとに根圏環境が異なるため、生育のばらつき（表現型分散）が生じる</w:t>
      </w:r>
    </w:p>
    <w:p>
      <w:pPr>
        <w:pStyle w:val="ListParagraph"/>
        <w:numPr>
          <w:ilvl w:val="0"/>
          <w:numId w:val="2"/>
        </w:numPr>
        <w:spacing w:after="120" w:line="340"/>
      </w:pPr>
      <w:r>
        <w:rPr>
          <w:rFonts w:ascii="游明朝" w:cs="游明朝" w:eastAsia="游明朝" w:hAnsi="游明朝"/>
          <w:sz w:val="22"/>
          <w:szCs w:val="22"/>
        </w:rPr>
        <w:t xml:space="preserve">MBT55施用により土壌微生物バイオマスが高密度かつ機能的に均質な状態に達すると、個体が経験する根圏環境の分散が縮小する</w:t>
      </w:r>
    </w:p>
    <w:p>
      <w:pPr>
        <w:pStyle w:val="ListParagraph"/>
        <w:numPr>
          <w:ilvl w:val="0"/>
          <w:numId w:val="2"/>
        </w:numPr>
        <w:spacing w:after="120" w:line="340"/>
      </w:pPr>
      <w:r>
        <w:rPr>
          <w:rFonts w:ascii="游明朝" w:cs="游明朝" w:eastAsia="游明朝" w:hAnsi="游明朝"/>
          <w:sz w:val="22"/>
          <w:szCs w:val="22"/>
        </w:rPr>
        <w:t xml:space="preserve">環境分散の縮小は、Wilkinsonの質量比効果に従い、表現型分散の縮小（形状の均一化）として現れる</w:t>
      </w:r>
    </w:p>
    <w:p>
      <w:pPr>
        <w:pBdr>
          <w:left w:val="single" w:color="999999" w:sz="12" w:space="8"/>
        </w:pBdr>
        <w:spacing w:after="200" w:line="340"/>
        <w:ind w:left="431"/>
      </w:pPr>
      <w:r>
        <w:rPr>
          <w:rFonts w:ascii="游明朝" w:cs="游明朝" w:eastAsia="游明朝" w:hAnsi="游明朝"/>
          <w:i/>
          <w:iCs/>
          <w:color w:val="555555"/>
          <w:sz w:val="20"/>
          <w:szCs w:val="20"/>
        </w:rPr>
        <w:t xml:space="preserve">検証課題：この仮説を検証するには、①圃場内の複数地点で土壌微生物叢の均質性（多様性指数のばらつき）を測定し、②同一地点での作物の形状パラメータ（長さ・径・重量）の分散係数（CV値）と比較し、③MBT55処理区と対照区で微生物叢の均質性と形状分散の相関を統計的に確認する必要がある。現時点では、この機序は他の説明（後述B.5）と区別されていない。</w:t>
      </w:r>
    </w:p>
    <w:p>
      <w:pPr>
        <w:pStyle w:val="Heading1"/>
        <w:spacing w:after="200" w:before="400"/>
      </w:pPr>
      <w:r>
        <w:t xml:space="preserve">B.4　ソース・シンク転換とバイオマス配分：里芋・ジャガイモ・サツマイモの事例</w:t>
      </w:r>
    </w:p>
    <w:p>
      <w:pPr>
        <w:spacing w:after="200" w:line="360"/>
      </w:pPr>
      <w:r>
        <w:rPr>
          <w:rFonts w:ascii="游明朝" w:cs="游明朝" w:eastAsia="游明朝" w:hAnsi="游明朝"/>
          <w:b w:val="false"/>
          <w:bCs w:val="false"/>
          <w:i w:val="false"/>
          <w:iCs w:val="false"/>
          <w:sz w:val="22"/>
          <w:szCs w:val="22"/>
        </w:rPr>
        <w:t xml:space="preserve">里芋・ジャガイモ・サツマイモにおいて、葉（地上部・ソース器官）が相対的に縮小し、貯蔵根・塊茎（地下部・シンク器官）が増大するという観察は、質量比効果とは別に、植物生理学上よく知られた「ソース・シンク関係」の転換として説明可能である。</w:t>
      </w:r>
    </w:p>
    <w:p>
      <w:pPr>
        <w:spacing w:after="200" w:line="360"/>
      </w:pPr>
      <w:r>
        <w:rPr>
          <w:rFonts w:ascii="游明朝" w:cs="游明朝" w:eastAsia="游明朝" w:hAnsi="游明朝"/>
          <w:b w:val="false"/>
          <w:bCs w:val="false"/>
          <w:i w:val="false"/>
          <w:iCs w:val="false"/>
          <w:sz w:val="22"/>
          <w:szCs w:val="22"/>
        </w:rPr>
        <w:t xml:space="preserve">この転換は、窒素供給と炭水化物転流のバランスに強く依存することが知られている。過剰な窒素供給は栄養成長（葉の拡大）を優先させ、相対的にリン酸・カリウムが優位で窒素が抑制的な条件、あるいはサイトカイニン／ジベレリン比の変化は、同化産物の転流先を貯蔵器官へ向けることが知られている。</w:t>
      </w:r>
    </w:p>
    <w:p>
      <w:pPr>
        <w:spacing w:after="200" w:line="360"/>
      </w:pPr>
      <w:r>
        <w:rPr>
          <w:rFonts w:ascii="游明朝" w:cs="游明朝" w:eastAsia="游明朝" w:hAnsi="游明朝"/>
          <w:b w:val="false"/>
          <w:bCs w:val="false"/>
          <w:i w:val="false"/>
          <w:iCs w:val="false"/>
          <w:sz w:val="22"/>
          <w:szCs w:val="22"/>
        </w:rPr>
        <w:t xml:space="preserve">MBT55による土壌微生物相の変化が、この転流バランスにどう影響するかについては、次の2つの経路が仮説として考えられる。</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000"/>
        <w:gridCol w:w="5000"/>
        <w:gridCol w:w="2000"/>
      </w:tblGrid>
      <w:tr>
        <w:tc>
          <w:tcPr>
            <w:tcW w:type="dxa" w:w="3000"/>
            <w:shd w:fill="2F5496" w:color="auto" w:val="clear"/>
          </w:tcPr>
          <w:p>
            <w:r>
              <w:rPr>
                <w:rFonts w:ascii="游明朝" w:cs="游明朝" w:eastAsia="游明朝" w:hAnsi="游明朝"/>
                <w:b/>
                <w:bCs/>
                <w:color w:val="FFFFFF"/>
                <w:sz w:val="20"/>
                <w:szCs w:val="20"/>
              </w:rPr>
              <w:t xml:space="preserve">仮説経路</w:t>
            </w:r>
          </w:p>
        </w:tc>
        <w:tc>
          <w:tcPr>
            <w:tcW w:type="dxa" w:w="5000"/>
            <w:shd w:fill="2F5496" w:color="auto" w:val="clear"/>
          </w:tcPr>
          <w:p>
            <w:r>
              <w:rPr>
                <w:rFonts w:ascii="游明朝" w:cs="游明朝" w:eastAsia="游明朝" w:hAnsi="游明朝"/>
                <w:b/>
                <w:bCs/>
                <w:color w:val="FFFFFF"/>
                <w:sz w:val="20"/>
                <w:szCs w:val="20"/>
              </w:rPr>
              <w:t xml:space="preserve">想定されるメカニズム</w:t>
            </w:r>
          </w:p>
        </w:tc>
        <w:tc>
          <w:tcPr>
            <w:tcW w:type="dxa" w:w="2000"/>
            <w:shd w:fill="2F5496" w:color="auto" w:val="clear"/>
          </w:tcPr>
          <w:p>
            <w:r>
              <w:rPr>
                <w:rFonts w:ascii="游明朝" w:cs="游明朝" w:eastAsia="游明朝" w:hAnsi="游明朝"/>
                <w:b/>
                <w:bCs/>
                <w:color w:val="FFFFFF"/>
                <w:sz w:val="20"/>
                <w:szCs w:val="20"/>
              </w:rPr>
              <w:t xml:space="preserve">検証に必要なデータ</w:t>
            </w:r>
          </w:p>
        </w:tc>
      </w:tr>
      <w:tr>
        <w:tc>
          <w:tcPr>
            <w:tcW w:type="dxa" w:w="3000"/>
            <w:shd w:fill="F2F2F2" w:color="auto" w:val="clear"/>
          </w:tcPr>
          <w:p>
            <w:r>
              <w:rPr>
                <w:rFonts w:ascii="游明朝" w:cs="游明朝" w:eastAsia="游明朝" w:hAnsi="游明朝"/>
                <w:sz w:val="20"/>
                <w:szCs w:val="20"/>
              </w:rPr>
              <w:t xml:space="preserve">経路1：窒素供給パターンの変化</w:t>
            </w:r>
          </w:p>
        </w:tc>
        <w:tc>
          <w:tcPr>
            <w:tcW w:type="dxa" w:w="5000"/>
            <w:shd w:fill="F2F2F2" w:color="auto" w:val="clear"/>
          </w:tcPr>
          <w:p>
            <w:r>
              <w:rPr>
                <w:rFonts w:ascii="游明朝" w:cs="游明朝" w:eastAsia="游明朝" w:hAnsi="游明朝"/>
                <w:sz w:val="20"/>
                <w:szCs w:val="20"/>
              </w:rPr>
              <w:t xml:space="preserve">MBT55の窒素固定菌・硝化菌・脱窒菌の協働により、窒素供給が急激なパルス型ではなく緩やかで持続的な供給パターンに変化し、栄養成長への偏重が抑制される</w:t>
            </w:r>
          </w:p>
        </w:tc>
        <w:tc>
          <w:tcPr>
            <w:tcW w:type="dxa" w:w="2000"/>
            <w:shd w:fill="F2F2F2" w:color="auto" w:val="clear"/>
          </w:tcPr>
          <w:p>
            <w:r>
              <w:rPr>
                <w:rFonts w:ascii="游明朝" w:cs="游明朝" w:eastAsia="游明朝" w:hAnsi="游明朝"/>
                <w:sz w:val="20"/>
                <w:szCs w:val="20"/>
              </w:rPr>
              <w:t xml:space="preserve">土壌中のNH₄⁺・NO₃⁻濃度の経時変化（対照区との比較）</w:t>
            </w:r>
          </w:p>
        </w:tc>
      </w:tr>
      <w:tr>
        <w:tc>
          <w:tcPr>
            <w:tcW w:type="dxa" w:w="3000"/>
            <w:shd w:fill="FFFFFF" w:color="auto" w:val="clear"/>
          </w:tcPr>
          <w:p>
            <w:r>
              <w:rPr>
                <w:rFonts w:ascii="游明朝" w:cs="游明朝" w:eastAsia="游明朝" w:hAnsi="游明朝"/>
                <w:sz w:val="20"/>
                <w:szCs w:val="20"/>
              </w:rPr>
              <w:t xml:space="preserve">経路2：植物ホルモン様物質の関与</w:t>
            </w:r>
          </w:p>
        </w:tc>
        <w:tc>
          <w:tcPr>
            <w:tcW w:type="dxa" w:w="5000"/>
            <w:shd w:fill="FFFFFF" w:color="auto" w:val="clear"/>
          </w:tcPr>
          <w:p>
            <w:r>
              <w:rPr>
                <w:rFonts w:ascii="游明朝" w:cs="游明朝" w:eastAsia="游明朝" w:hAnsi="游明朝"/>
                <w:sz w:val="20"/>
                <w:szCs w:val="20"/>
              </w:rPr>
              <w:t xml:space="preserve">MBT55構成菌の一部（Bacillus属等）が産生するオーキシン・サイトカイニン様物質が、直接的に転流シグナルへ影響する</w:t>
            </w:r>
          </w:p>
        </w:tc>
        <w:tc>
          <w:tcPr>
            <w:tcW w:type="dxa" w:w="2000"/>
            <w:shd w:fill="FFFFFF" w:color="auto" w:val="clear"/>
          </w:tcPr>
          <w:p>
            <w:r>
              <w:rPr>
                <w:rFonts w:ascii="游明朝" w:cs="游明朝" w:eastAsia="游明朝" w:hAnsi="游明朝"/>
                <w:sz w:val="20"/>
                <w:szCs w:val="20"/>
              </w:rPr>
              <w:t xml:space="preserve">根圏抽出液中のホルモン様物質の定量（LC-MS/MS等）</w:t>
            </w:r>
          </w:p>
        </w:tc>
      </w:tr>
    </w:tbl>
    <w:p>
      <w:pPr>
        <w:spacing w:after="200"/>
      </w:pPr>
    </w:p>
    <w:p>
      <w:pPr>
        <w:spacing w:after="200" w:line="360"/>
      </w:pPr>
      <w:r>
        <w:rPr>
          <w:rFonts w:ascii="游明朝" w:cs="游明朝" w:eastAsia="游明朝" w:hAnsi="游明朝"/>
          <w:b w:val="false"/>
          <w:bCs w:val="false"/>
          <w:i w:val="false"/>
          <w:iCs w:val="false"/>
          <w:sz w:val="22"/>
          <w:szCs w:val="22"/>
        </w:rPr>
        <w:t xml:space="preserve">いずれの経路も、Wilkinsonの「生物生理と生態生理の融合」という大枠——土壌微生物という生態系レベルの主体が、個々の植物という生物個体の生理を直接規定する——には合致するが、具体的な分子機序の特定には至っていない。</w:t>
      </w:r>
    </w:p>
    <w:p>
      <w:pPr>
        <w:pStyle w:val="Heading1"/>
        <w:spacing w:after="200" w:before="400"/>
      </w:pPr>
      <w:r>
        <w:t xml:space="preserve">B.5　代替説明との切り分け</w:t>
      </w:r>
    </w:p>
    <w:p>
      <w:pPr>
        <w:spacing w:after="200" w:line="360"/>
      </w:pPr>
      <w:r>
        <w:rPr>
          <w:rFonts w:ascii="游明朝" w:cs="游明朝" w:eastAsia="游明朝" w:hAnsi="游明朝"/>
          <w:b w:val="false"/>
          <w:bCs w:val="false"/>
          <w:i w:val="false"/>
          <w:iCs w:val="false"/>
          <w:sz w:val="22"/>
          <w:szCs w:val="22"/>
        </w:rPr>
        <w:t xml:space="preserve">公平を期すため、質量比効果以外に、観察結果を説明しうる代替仮説も併記する。</w:t>
      </w:r>
    </w:p>
    <w:p>
      <w:pPr>
        <w:pStyle w:val="ListParagraph"/>
        <w:numPr>
          <w:ilvl w:val="0"/>
          <w:numId w:val="2"/>
        </w:numPr>
        <w:spacing w:after="120" w:line="340"/>
      </w:pPr>
      <w:r>
        <w:rPr>
          <w:rFonts w:ascii="游明朝" w:cs="游明朝" w:eastAsia="游明朝" w:hAnsi="游明朝"/>
          <w:sz w:val="22"/>
          <w:szCs w:val="22"/>
        </w:rPr>
        <w:t xml:space="preserve">土壌物理性の改善（団粒構造の発達による通気性・保水性の均質化）が、微生物相を介さず直接的に根の生育環境を均一化した可能性</w:t>
      </w:r>
    </w:p>
    <w:p>
      <w:pPr>
        <w:pStyle w:val="ListParagraph"/>
        <w:numPr>
          <w:ilvl w:val="0"/>
          <w:numId w:val="2"/>
        </w:numPr>
        <w:spacing w:after="120" w:line="340"/>
      </w:pPr>
      <w:r>
        <w:rPr>
          <w:rFonts w:ascii="游明朝" w:cs="游明朝" w:eastAsia="游明朝" w:hAnsi="游明朝"/>
          <w:sz w:val="22"/>
          <w:szCs w:val="22"/>
        </w:rPr>
        <w:t xml:space="preserve">単純な養分供給量の増加（微生物の関与によらない肥料効果）が、収量増加の主因である可能性</w:t>
      </w:r>
    </w:p>
    <w:p>
      <w:pPr>
        <w:pStyle w:val="ListParagraph"/>
        <w:numPr>
          <w:ilvl w:val="0"/>
          <w:numId w:val="2"/>
        </w:numPr>
        <w:spacing w:after="120" w:line="340"/>
      </w:pPr>
      <w:r>
        <w:rPr>
          <w:rFonts w:ascii="游明朝" w:cs="游明朝" w:eastAsia="游明朝" w:hAnsi="游明朝"/>
          <w:sz w:val="22"/>
          <w:szCs w:val="22"/>
        </w:rPr>
        <w:t xml:space="preserve">圃場管理（灌漑・播種密度等）が偶然に均一だった可能性</w:t>
      </w:r>
    </w:p>
    <w:p>
      <w:pPr>
        <w:pBdr>
          <w:left w:val="single" w:color="999999" w:sz="12" w:space="8"/>
        </w:pBdr>
        <w:spacing w:after="200" w:line="340"/>
        <w:ind w:left="431"/>
      </w:pPr>
      <w:r>
        <w:rPr>
          <w:rFonts w:ascii="游明朝" w:cs="游明朝" w:eastAsia="游明朝" w:hAnsi="游明朝"/>
          <w:i/>
          <w:iCs/>
          <w:color w:val="555555"/>
          <w:sz w:val="20"/>
          <w:szCs w:val="20"/>
        </w:rPr>
        <w:t xml:space="preserve">これらの代替説明を排除するには、MBT55処理区・堆肥のみ処理区・無処理区の三群比較が最低限必要である。現行の資料には、この三群比較のデザインが明示されていない。</w:t>
      </w:r>
    </w:p>
    <w:p>
      <w:pPr>
        <w:pStyle w:val="Heading1"/>
        <w:spacing w:after="200" w:before="400"/>
      </w:pPr>
      <w:r>
        <w:t xml:space="preserve">B.6　小結</w:t>
      </w:r>
    </w:p>
    <w:p>
      <w:pPr>
        <w:spacing w:after="200" w:line="360"/>
      </w:pPr>
      <w:r>
        <w:rPr>
          <w:rFonts w:ascii="游明朝" w:cs="游明朝" w:eastAsia="游明朝" w:hAnsi="游明朝"/>
          <w:b w:val="false"/>
          <w:bCs w:val="false"/>
          <w:i w:val="false"/>
          <w:iCs w:val="false"/>
          <w:sz w:val="22"/>
          <w:szCs w:val="22"/>
        </w:rPr>
        <w:t xml:space="preserve">本補遺は、MBT55施用圃場で観察される「形状の均一化」と「バイオマス配分の劇的な変化」を、Wilkinsonの質量比効果、および植物生理学のソース・シンク理論の両方から説明しうる作業仮説を提示した。これらは、既存の学術的枠組みの中で十分に検討可能な現象であり、「未知の原理」を持ち出す必要はない、という点が重要である。次のステップは、B.3・B.4・B.5で示した検証課題に対応する三群比較試験のデータを取得し、複数の仮説のうちどれが支持されるかを絞り込むことである。</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76"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2026-08-02T07:46:50.765Z</dcterms:created>
  <dcterms:modified xsi:type="dcterms:W3CDTF">2026-08-02T07:46:50.783Z</dcterms:modified>
</cp:coreProperties>
</file>

<file path=docProps/custom.xml><?xml version="1.0" encoding="utf-8"?>
<Properties xmlns="http://schemas.openxmlformats.org/officeDocument/2006/custom-properties" xmlns:vt="http://schemas.openxmlformats.org/officeDocument/2006/docPropsVTypes"/>
</file>