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EMG-Analyzer-Pro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Project Documentation  |  Automated quality validation of multi-channel surface EMG recordings</w:t>
      </w:r>
    </w:p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is.</w:t>
      </w:r>
      <w:r>
        <w:rPr>
          <w:rFonts w:ascii="Calibri" w:cs="Calibri" w:eastAsia="Calibri" w:hAnsi="Calibri"/>
          <w:sz w:val="21"/>
          <w:szCs w:val="21"/>
        </w:rPr>
        <w:t xml:space="preserve"> A Python notebook (Analysis.ipynb, runs in Google Colab or Jupyter) that takes a raw surface-EMG recording and returns one PDF report with a clear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PASS / CAUTION / FAIL</w:t>
      </w:r>
      <w:r>
        <w:rPr>
          <w:rFonts w:ascii="Calibri" w:cs="Calibri" w:eastAsia="Calibri" w:hAnsi="Calibri"/>
          <w:sz w:val="21"/>
          <w:szCs w:val="21"/>
        </w:rPr>
        <w:t xml:space="preserve"> verdict, a 0–100 score for each channel, and a prioritised list of fixes.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problem.</w:t>
      </w:r>
      <w:r>
        <w:rPr>
          <w:rFonts w:ascii="Calibri" w:cs="Calibri" w:eastAsia="Calibri" w:hAnsi="Calibri"/>
          <w:sz w:val="21"/>
          <w:szCs w:val="21"/>
        </w:rPr>
        <w:t xml:space="preserve"> sEMG signals are microvolt-level and easily ruined by loose electrodes, mains hum, amplifier clipping or dropped packets. Bad recordings silently wreck gesture-recognition models, and the damage is usually found only after hours of data collection and training.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solution.</w:t>
      </w:r>
      <w:r>
        <w:rPr>
          <w:rFonts w:ascii="Calibri" w:cs="Calibri" w:eastAsia="Calibri" w:hAnsi="Calibri"/>
          <w:sz w:val="21"/>
          <w:szCs w:val="21"/>
        </w:rPr>
        <w:t xml:space="preserve"> Check the recording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immediately after capture</w:t>
      </w:r>
      <w:r>
        <w:rPr>
          <w:rFonts w:ascii="Calibri" w:cs="Calibri" w:eastAsia="Calibri" w:hAnsi="Calibri"/>
          <w:sz w:val="21"/>
          <w:szCs w:val="21"/>
        </w:rPr>
        <w:t xml:space="preserve">, with objective rules, so a bad session is re-recorded the same day.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single" w:color="1F4E79" w:sz="24"/>
              <w:bottom w:val="none"/>
              <w:right w:val="none"/>
            </w:tcBorders>
            <w:shd w:fill="DCE9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Who it is for: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researchers and students collecting gesture data with an 8-channel, 500 Hz device (prosthetics, rehabilitation, gesture control).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coding is needed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you only press Run and upload two files.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design decisions and why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766"/>
      </w:tblGrid>
      <w:tr>
        <w:trPr>
          <w:cantSplit/>
          <w:tblHeader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77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Rule-based scoring, not machine learning</w:t>
            </w:r>
          </w:p>
        </w:tc>
        <w:tc>
          <w:tcPr>
            <w:tcW w:type="dxa" w:w="77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deduction can be explained and traced to a threshold. Users can tune thresholds, and no labelled “good/bad” training set is required.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notebook, one PDF output</w:t>
            </w:r>
          </w:p>
        </w:tc>
        <w:tc>
          <w:tcPr>
            <w:tcW w:type="dxa" w:w="77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 installation in Colab, a single file to archive or share with a supervisor, and every figure sits beside its explanation.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Panel with sliders, no code edits</w:t>
            </w:r>
          </w:p>
        </w:tc>
        <w:tc>
          <w:tcPr>
            <w:tcW w:type="dxa" w:w="77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Lets non-programmers adapt the tool to another device, mains frequency (50/60 Hz) or gesture set.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AI is optional and fenced in</w:t>
            </w:r>
          </w:p>
        </w:tc>
        <w:tc>
          <w:tcPr>
            <w:tcW w:type="dxa" w:w="77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Offline rule-based text is the default. Gemini or Claude only write wording; numbers, tables, plots and verdicts always come from code (see Section 6).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How It Works</w:t>
      </w:r>
    </w:p>
    <w:p>
      <w:pPr>
        <w:spacing w:after="90" w:line="259"/>
      </w:pPr>
      <w:r>
        <w:rPr>
          <w:rFonts w:ascii="Calibri" w:cs="Calibri" w:eastAsia="Calibri" w:hAnsi="Calibri"/>
          <w:sz w:val="21"/>
          <w:szCs w:val="21"/>
        </w:rPr>
        <w:t xml:space="preserve">The recording passes through five stages. Each stage answers one question, and a failure at an early stage explains problems later 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3900"/>
        <w:gridCol w:w="3716"/>
      </w:tblGrid>
      <w:tr>
        <w:trPr>
          <w:cantSplit/>
          <w:tblHeader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measured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Timing and packets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Sampling interval, backward/duplicate timestamps, missing packet numbers, coverage vs. expected samples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Gaps and jitter distort filters and spectra; short sessions have too few repetitions.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Channel health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Mean, std, peak-to-peak, % at ADC max (clipping), % at zero, flat 1-s windows, channel correlation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Finds dead, disconnected or saturated electrodes in seconds.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Signal quality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Gesture/rest RMS ratio, SNR, mains-band power, spectrogram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Shows whether muscle activity actually rises above the noise floor.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readiness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Repeatability (CV) across trials, label balance, window purity, Fisher ratio, Mahalanobis distance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Predicts whether a classifier can separate the gestures.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Verdict and report</w:t>
            </w:r>
          </w:p>
        </w:tc>
        <w:tc>
          <w:tcPr>
            <w:tcW w:type="dxa" w:w="3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Scorecard, 9 recording-level checks, recommended actions, PDF</w:t>
            </w:r>
          </w:p>
        </w:tc>
        <w:tc>
          <w:tcPr>
            <w:tcW w:type="dxa" w:w="371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Converts numbers into one decision plus actions.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Quick 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</w:t>
      </w:r>
      <w:r>
        <w:rPr>
          <w:rFonts w:ascii="Calibri" w:cs="Calibri" w:eastAsia="Calibri" w:hAnsi="Calibri"/>
          <w:sz w:val="21"/>
          <w:szCs w:val="21"/>
        </w:rPr>
        <w:t xml:space="preserve"> Analysis.ipynb in Google Colab (no installation) or Jupyter. Missing libraries install automatically.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 the Control Panel cell.</w:t>
      </w:r>
      <w:r>
        <w:rPr>
          <w:rFonts w:ascii="Calibri" w:cs="Calibri" w:eastAsia="Calibri" w:hAnsi="Calibri"/>
          <w:sz w:val="21"/>
          <w:szCs w:val="21"/>
        </w:rPr>
        <w:t xml:space="preserve"> The defaults suit the 8-channel, 500 Hz device. Change only what differs (for example mains 60 Hz or the rest label).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 all remaining cells</w:t>
      </w:r>
      <w:r>
        <w:rPr>
          <w:rFonts w:ascii="Calibri" w:cs="Calibri" w:eastAsia="Calibri" w:hAnsi="Calibri"/>
          <w:sz w:val="21"/>
          <w:szCs w:val="21"/>
        </w:rPr>
        <w:t xml:space="preserve"> (Runtime → Run after). When asked, upload emg_data_*.csv and, optionally, metadata_*.txt.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</w:t>
      </w:r>
      <w:r>
        <w:rPr>
          <w:rFonts w:ascii="Calibri" w:cs="Calibri" w:eastAsia="Calibri" w:hAnsi="Calibri"/>
          <w:sz w:val="21"/>
          <w:szCs w:val="21"/>
        </w:rPr>
        <w:t xml:space="preserve"> EMG_Signal_Analysis_Report.pdf, which starts with the verdict and the action list.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files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566"/>
      </w:tblGrid>
      <w:tr>
        <w:trPr>
          <w:cantSplit/>
          <w:tblHeader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5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emg_data_*.csv (required)</w:t>
            </w:r>
          </w:p>
        </w:tc>
        <w:tc>
          <w:tcPr>
            <w:tcW w:type="dxa" w:w="75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(ms), optional Packet_Number, EMG1–EMG8 as raw ADC counts, Label (gesture; “rest” is the baseline), Trial (repetition index). Column names are auto-matched, so naming differences are tolerated.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metadata_*.txt (optional)</w:t>
            </w:r>
          </w:p>
        </w:tc>
        <w:tc>
          <w:tcPr>
            <w:tcW w:type="dxa" w:w="75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Sampling rate, expected sample count. Without it, the rate is estimated from timestamps and coverage checks are skipped.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Control Panel settings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6266"/>
      </w:tblGrid>
      <w:tr>
        <w:trPr>
          <w:cantSplit/>
          <w:tblHeader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 for the default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Mains frequency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50 Hz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 60 Hz in the Americas; the wrong value hides real hum.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ADC resolution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 bit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Needed to detect clipping at the true maximum count.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 / stride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200 / 50 ms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Windows under about 300 ms keep real-time control responsive; 75% overlap gives plenty of samples.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Min std / peak-to-peak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/ 50 counts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Below this the channel is effectively flat.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 saturation / zeros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0.1% / 1.0%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Even brief clipping removes signal peaks, so the tolerance is tight.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Min gesture/rest ratio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1.2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Muscle must be visibly more active than rest.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Mains warning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15% of power</w:t>
            </w:r>
          </w:p>
        </w:tc>
        <w:tc>
          <w:tcPr>
            <w:tcW w:type="dxa" w:w="62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Hum above this masks the 40–70 Hz motor-unit range.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Methods and Reasoning</w:t>
      </w:r>
    </w:p>
    <w:p>
      <w:pPr>
        <w:spacing w:after="90" w:line="259"/>
      </w:pPr>
      <w:r>
        <w:rPr>
          <w:rFonts w:ascii="Calibri" w:cs="Calibri" w:eastAsia="Calibri" w:hAnsi="Calibri"/>
          <w:sz w:val="21"/>
          <w:szCs w:val="21"/>
        </w:rPr>
        <w:t xml:space="preserve">Each method was chosen because it is standard in the EMG literature, cheap to compute and easy to interpret.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4066"/>
      </w:tblGrid>
      <w:tr>
        <w:trPr>
          <w:cantSplit/>
          <w:tblHeader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Band-pass 20–200 Hz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4th-order Butterworth, applied forward and backward (zero-phase)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 EMG energy lies in 20–200 Hz. Below 20 Hz is motion artefact; above 200 Hz is noise. Zero-phase keeps gesture onsets correctly aligned in time.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Linear envelope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Rectify, then 5 Hz low-pass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Gives a smooth picture of contraction strength, so a human can verify activity visually.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SNR (dB)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20·log10(active RMS / rest RMS)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 is the real noise floor of this setup, so no separate noise recording is needed.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Welch PSD and mains %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Averaged spectrum; power within ±2 Hz of 50/60 Hz divided by total power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Averaging gives a stable estimate for short segments. A power ratio is independent of signal amplitude.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Median / mean frequency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Frequency splitting power in half / power-weighted centroid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downward drift across trials is the classic sign of muscle fatigue, and it explains accuracy that falls over time.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Fast window RMS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Cumulative sum of squares, so each window costs O(1)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Hundreds of thousands of windows compute almost instantly in a notebook.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Label purity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only windows with a single label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Windows crossing Rest→Fist mix two states and would blur the class statistics.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Fisher ratio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Between-class / within-class variance per channel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Ranks channels by usefulness, so weak electrodes can be repositioned or dropped.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Mahalanobis distance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Distance between gesture centroids scaled by pooled covariance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Accounts for correlated channels (cross-talk), which Euclidean distance ignores. Guide: below 1 heavy overlap, 1–2 moderate, 2–3 separable, above 3 well separated.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Coefficient of variation</w:t>
            </w:r>
          </w:p>
        </w:tc>
        <w:tc>
          <w:tcPr>
            <w:tcW w:type="dxa" w:w="4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Std / mean of RMS across trials</w:t>
            </w:r>
          </w:p>
        </w:tc>
        <w:tc>
          <w:tcPr>
            <w:tcW w:type="dxa" w:w="40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Reveals inconsistent effort or electrode shift. About 20% or less is good; above 50% is suspect.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Scoring and Verdict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Channel score.</w:t>
      </w:r>
      <w:r>
        <w:rPr>
          <w:rFonts w:ascii="Calibri" w:cs="Calibri" w:eastAsia="Calibri" w:hAnsi="Calibri"/>
          <w:sz w:val="21"/>
          <w:szCs w:val="21"/>
        </w:rPr>
        <w:t xml:space="preserve"> Each channel starts at 100 and loses points per problem.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GOOD</w:t>
      </w:r>
      <w:r>
        <w:rPr>
          <w:rFonts w:ascii="Calibri" w:cs="Calibri" w:eastAsia="Calibri" w:hAnsi="Calibri"/>
          <w:sz w:val="21"/>
          <w:szCs w:val="21"/>
        </w:rPr>
        <w:t xml:space="preserve"> is 80 or more,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FAIR</w:t>
      </w:r>
      <w:r>
        <w:rPr>
          <w:rFonts w:ascii="Calibri" w:cs="Calibri" w:eastAsia="Calibri" w:hAnsi="Calibri"/>
          <w:sz w:val="21"/>
          <w:szCs w:val="21"/>
        </w:rPr>
        <w:t xml:space="preserve"> is 50–79,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POOR</w:t>
      </w:r>
      <w:r>
        <w:rPr>
          <w:rFonts w:ascii="Calibri" w:cs="Calibri" w:eastAsia="Calibri" w:hAnsi="Calibri"/>
          <w:sz w:val="21"/>
          <w:szCs w:val="21"/>
        </w:rPr>
        <w:t xml:space="preserve"> is below 50 (consider excluding the channel).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1000"/>
        <w:gridCol w:w="2966"/>
      </w:tblGrid>
      <w:tr>
        <w:trPr>
          <w:cantSplit/>
          <w:tblHeader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fix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LOW_SIGNAL_VARIATION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std &lt; 10 counts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electrode and wiring.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LOW_DYNAMIC_RANGE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peak-to-peak &lt; 50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gain and skin contact.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ADC_SATURATION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0.1% at max (&gt; 5% costs 45)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 / 45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Lower gain; check cable.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ZERO_VALUES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1% at zero (&gt; 10% costs 45)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/ 45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Re-seat electrode; check ground.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WEAK_REST_GESTURE_SEPARATION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gesture/rest RMS &lt; 1.2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Move electrode onto the muscle belly.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HIGH_MAINS_INTERFERENCE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15% power near mains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Skin prep, shielding, notch filter.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FLATLINE_SEGMENTS</w:t>
            </w:r>
          </w:p>
        </w:tc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&gt; 5% of 1-s windows flat</w:t>
            </w:r>
          </w:p>
        </w:tc>
        <w:tc>
          <w:tcPr>
            <w:tcW w:type="dxa" w:w="1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2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for intermittent disconnection.</w:t>
            </w:r>
          </w:p>
        </w:tc>
      </w:tr>
    </w:tbl>
    <w:p>
      <w:pPr>
        <w:spacing w:after="6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Recording verdict.</w:t>
      </w:r>
      <w:r>
        <w:rPr>
          <w:rFonts w:ascii="Calibri" w:cs="Calibri" w:eastAsia="Calibri" w:hAnsi="Calibri"/>
          <w:sz w:val="21"/>
          <w:szCs w:val="21"/>
        </w:rPr>
        <w:t xml:space="preserve"> The overall result is the worst outcome among the recording-level checks: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6"/>
      </w:tblGrid>
      <w:tr>
        <w:trPr>
          <w:cantSplit/>
          <w:tblHeader/>
        </w:trP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8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FAIL</w:t>
            </w:r>
          </w:p>
        </w:tc>
        <w:tc>
          <w:tcPr>
            <w:tcW w:type="dxa" w:w="8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Fewer than half of the channels score 50 or more; sample coverage under 50%; fewer than two non-rest gestures.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CAUTION</w:t>
            </w:r>
          </w:p>
        </w:tc>
        <w:tc>
          <w:tcPr>
            <w:tcW w:type="dxa" w:w="8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 channel below 80; coverage under 95%; more than 1% packets missing; no rest label; only one trial; a gesture pair with distance below 1; smallest gesture under half the size of the largest.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</w:t>
            </w:r>
          </w:p>
        </w:tc>
        <w:tc>
          <w:tcPr>
            <w:tcW w:type="dxa" w:w="89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 of the above.</w:t>
            </w:r>
          </w:p>
        </w:tc>
      </w:tr>
    </w:tbl>
    <w:p>
      <w:pPr>
        <w:spacing w:after="60"/>
      </w:pPr>
    </w:p>
    <w:p>
      <w:pPr>
        <w:spacing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these rules.</w:t>
      </w:r>
      <w:r>
        <w:rPr>
          <w:rFonts w:ascii="Calibri" w:cs="Calibri" w:eastAsia="Calibri" w:hAnsi="Calibri"/>
          <w:sz w:val="21"/>
          <w:szCs w:val="21"/>
        </w:rPr>
        <w:t xml:space="preserve"> Penalties are weighted by how much each fault harms later analysis: dead or clipped channels (30–45) outweigh mains noise (10), which can be repaired by filtering. The thresholds are engineering heuristics and are tunable in the Control Panel.</w:t>
      </w:r>
    </w:p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Report and AI Safeguards</w:t>
      </w:r>
    </w:p>
    <w:p>
      <w:pPr>
        <w:spacing w:after="90" w:line="259"/>
      </w:pPr>
      <w:r>
        <w:rPr>
          <w:rFonts w:ascii="Calibri" w:cs="Calibri" w:eastAsia="Calibri" w:hAnsi="Calibri"/>
          <w:sz w:val="21"/>
          <w:szCs w:val="21"/>
        </w:rPr>
        <w:t xml:space="preserve">The PDF contains the verdict, scorecard, actions, every table and figure, and a plain-language explanation next to each result. Explanation text comes from one of three providers: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866"/>
      </w:tblGrid>
      <w:tr>
        <w:trPr>
          <w:cantSplit/>
          <w:tblHeader/>
        </w:trP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/ needs</w:t>
            </w:r>
          </w:p>
        </w:tc>
        <w:tc>
          <w:tcPr>
            <w:tcW w:type="dxa" w:w="48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used when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Rule-based (default)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Free, offline, no key</w:t>
            </w:r>
          </w:p>
        </w:tc>
        <w:tc>
          <w:tcPr>
            <w:tcW w:type="dxa" w:w="48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Sensitive data, or when a reproducible result is needed. Fixed templates filled with computed numbers, so nothing can be invented.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Gemini (2.5 Flash)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Free tier, API key in Colab Secrets</w:t>
            </w:r>
          </w:p>
        </w:tc>
        <w:tc>
          <w:tcPr>
            <w:tcW w:type="dxa" w:w="48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4F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Richer wording at no cost.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Paid, API key in Colab Secrets</w:t>
            </w:r>
          </w:p>
        </w:tc>
        <w:tc>
          <w:tcPr>
            <w:tcW w:type="dxa" w:w="486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Highest-quality narrative.</w:t>
            </w:r>
          </w:p>
        </w:tc>
      </w:tr>
    </w:tbl>
    <w:p>
      <w:pPr>
        <w:spacing w:after="6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Anti-hallucination protection</w:t>
      </w:r>
      <w:r>
        <w:rPr>
          <w:rFonts w:ascii="Calibri" w:cs="Calibri" w:eastAsia="Calibri" w:hAnsi="Calibri"/>
          <w:sz w:val="21"/>
          <w:szCs w:val="21"/>
        </w:rPr>
        <w:t xml:space="preserve"> (Gemini and Claude): the model sees only numbers computed by the notebook; every number in its answer is checked against that data; an answer with unverifiable numbers is requested again once; any sentence still containing one is deleted; tables, plots, scores and the verdict are never written by AI.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Privacy:</w:t>
      </w:r>
      <w:r>
        <w:rPr>
          <w:rFonts w:ascii="Calibri" w:cs="Calibri" w:eastAsia="Calibri" w:hAnsi="Calibri"/>
          <w:sz w:val="21"/>
          <w:szCs w:val="21"/>
        </w:rPr>
        <w:t xml:space="preserve"> Gemini and Claude receive your computed results (and figures if enabled), so use Rule-based for confidential data.</w:t>
      </w:r>
    </w:p>
    <w:p>
      <w:pPr>
        <w:pStyle w:val="Heading1"/>
        <w:pBdr>
          <w:bottom w:val="single" w:color="1F4E7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Limitations and Future Work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Heuristic thresholds.</w:t>
      </w:r>
      <w:r>
        <w:rPr>
          <w:rFonts w:ascii="Calibri" w:cs="Calibri" w:eastAsia="Calibri" w:hAnsi="Calibri"/>
          <w:sz w:val="21"/>
          <w:szCs w:val="21"/>
        </w:rPr>
        <w:t xml:space="preserve"> They are tuned for one device and are not clinically validated; recalibrate for new hardware.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Separability is not classifier accuracy.</w:t>
      </w:r>
      <w:r>
        <w:rPr>
          <w:rFonts w:ascii="Calibri" w:cs="Calibri" w:eastAsia="Calibri" w:hAnsi="Calibri"/>
          <w:sz w:val="21"/>
          <w:szCs w:val="21"/>
        </w:rPr>
        <w:t xml:space="preserve"> Distances predict data quality, not model performance.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Runs on one recording at a time</w:t>
      </w:r>
      <w:r>
        <w:rPr>
          <w:rFonts w:ascii="Calibri" w:cs="Calibri" w:eastAsia="Calibri" w:hAnsi="Calibri"/>
          <w:sz w:val="21"/>
          <w:szCs w:val="21"/>
        </w:rPr>
        <w:t xml:space="preserve"> and depends on Colab upload/download.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Next steps:</w:t>
      </w:r>
      <w:r>
        <w:rPr>
          <w:rFonts w:ascii="Calibri" w:cs="Calibri" w:eastAsia="Calibri" w:hAnsi="Calibri"/>
          <w:sz w:val="21"/>
          <w:szCs w:val="21"/>
        </w:rPr>
        <w:t xml:space="preserve"> batch processing of many sessions, a notch-filter option, comparison across sessions to track fatigue, and a standalone command-line version.</w:t>
      </w:r>
    </w:p>
    <w:p>
      <w:pPr>
        <w:spacing w:after="6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references:</w:t>
      </w:r>
      <w:r>
        <w:rPr>
          <w:rFonts w:ascii="Calibri" w:cs="Calibri" w:eastAsia="Calibri" w:hAnsi="Calibri"/>
          <w:sz w:val="21"/>
          <w:szCs w:val="21"/>
        </w:rPr>
        <w:t xml:space="preserve"> De Luca (1997), J. Applied Biomechanics 13(2); Merletti &amp; Parker (2004), Electromyography, Wiley/IEEE; Welch (1967), IEEE Trans. Audio Electroacoust. 15(2); Hermens et al. (2000), SENIAM, J. Electromyogr. Kinesiol. 10(5).</w:t>
      </w:r>
    </w:p>
    <w:sectPr>
      <w:footerReference w:type="default" r:id="rId6"/>
      <w:pgSz w:w="11906" w:h="16838" w:orient="portrait"/>
      <w:pgMar w:top="800" w:right="720" w:bottom="8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EMG-Analyzer-Pro  |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2026-10-04T11:52:14.231Z</dcterms:created>
  <dcterms:modified xsi:type="dcterms:W3CDTF">2026-10-04T11:52:14.232Z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