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Infra Design for Purview Deployment</w:t>
      </w:r>
    </w:p>
    <w:p>
      <w:pPr>
        <w:pStyle w:val="Heading1"/>
      </w:pPr>
      <w:r>
        <w:t>Purview Architecture Diagram</w:t>
      </w:r>
    </w:p>
    <w:p/>
    <w:p>
      <w:pPr>
        <w:pStyle w:val="Heading2"/>
      </w:pPr>
      <w:r>
        <w:t>Overview</w:t>
      </w:r>
    </w:p>
    <w:p/>
    <w:p>
      <w:r>
        <w:t>This diagram represents the deployed architecture for the Purview implementation in this repository.</w:t>
      </w:r>
    </w:p>
    <w:p/>
    <w:p>
      <w:r>
        <w:rPr>
          <w:rFonts w:ascii="Consolas" w:hAnsi="Consolas"/>
          <w:sz w:val="20"/>
        </w:rPr>
        <w:t>flowchart LR</w:t>
      </w:r>
    </w:p>
    <w:p>
      <w:r>
        <w:rPr>
          <w:rFonts w:ascii="Consolas" w:hAnsi="Consolas"/>
          <w:sz w:val="20"/>
        </w:rPr>
        <w:t xml:space="preserve">    subgraph LandingZone[Existing Landing Zone VNet]</w:t>
      </w:r>
    </w:p>
    <w:p>
      <w:r>
        <w:rPr>
          <w:rFonts w:ascii="Consolas" w:hAnsi="Consolas"/>
          <w:sz w:val="20"/>
        </w:rPr>
        <w:t xml:space="preserve">        subnet[Private Endpoint Subnet]</w:t>
      </w:r>
    </w:p>
    <w:p>
      <w:r>
        <w:rPr>
          <w:rFonts w:ascii="Consolas" w:hAnsi="Consolas"/>
          <w:sz w:val="20"/>
        </w:rPr>
        <w:t xml:space="preserve">        dnsLinks[DNS VNet Links]</w:t>
      </w:r>
    </w:p>
    <w:p>
      <w:r>
        <w:rPr>
          <w:rFonts w:ascii="Consolas" w:hAnsi="Consolas"/>
          <w:sz w:val="20"/>
        </w:rPr>
        <w:t xml:space="preserve">    end</w:t>
      </w:r>
    </w:p>
    <w:p/>
    <w:p>
      <w:r>
        <w:rPr>
          <w:rFonts w:ascii="Consolas" w:hAnsi="Consolas"/>
          <w:sz w:val="20"/>
        </w:rPr>
        <w:t xml:space="preserve">    subgraph PurviewRG[Purview Workload Resource Group]</w:t>
      </w:r>
    </w:p>
    <w:p>
      <w:r>
        <w:rPr>
          <w:rFonts w:ascii="Consolas" w:hAnsi="Consolas"/>
          <w:sz w:val="20"/>
        </w:rPr>
        <w:t xml:space="preserve">        purview[Microsoft Purview Account]</w:t>
      </w:r>
    </w:p>
    <w:p>
      <w:r>
        <w:rPr>
          <w:rFonts w:ascii="Consolas" w:hAnsi="Consolas"/>
          <w:sz w:val="20"/>
        </w:rPr>
        <w:t xml:space="preserve">        kv[Key Vault]</w:t>
      </w:r>
    </w:p>
    <w:p>
      <w:r>
        <w:rPr>
          <w:rFonts w:ascii="Consolas" w:hAnsi="Consolas"/>
          <w:sz w:val="20"/>
        </w:rPr>
        <w:t xml:space="preserve">        st[Diagnostic Storage Account]</w:t>
      </w:r>
    </w:p>
    <w:p>
      <w:r>
        <w:rPr>
          <w:rFonts w:ascii="Consolas" w:hAnsi="Consolas"/>
          <w:sz w:val="20"/>
        </w:rPr>
        <w:t xml:space="preserve">        nsg[Network Security Group]</w:t>
      </w:r>
    </w:p>
    <w:p>
      <w:r>
        <w:rPr>
          <w:rFonts w:ascii="Consolas" w:hAnsi="Consolas"/>
          <w:sz w:val="20"/>
        </w:rPr>
        <w:t xml:space="preserve">        pePvwAcct[Private Endpoint Purview Account]</w:t>
      </w:r>
    </w:p>
    <w:p>
      <w:r>
        <w:rPr>
          <w:rFonts w:ascii="Consolas" w:hAnsi="Consolas"/>
          <w:sz w:val="20"/>
        </w:rPr>
        <w:t xml:space="preserve">        pePvwPortal[Private Endpoint Purview Portal]</w:t>
      </w:r>
    </w:p>
    <w:p>
      <w:r>
        <w:rPr>
          <w:rFonts w:ascii="Consolas" w:hAnsi="Consolas"/>
          <w:sz w:val="20"/>
        </w:rPr>
        <w:t xml:space="preserve">        peKv[Private Endpoint Key Vault]</w:t>
      </w:r>
    </w:p>
    <w:p>
      <w:r>
        <w:rPr>
          <w:rFonts w:ascii="Consolas" w:hAnsi="Consolas"/>
          <w:sz w:val="20"/>
        </w:rPr>
        <w:t xml:space="preserve">        peStBlob[Private Endpoint Storage Blob]</w:t>
      </w:r>
    </w:p>
    <w:p>
      <w:r>
        <w:rPr>
          <w:rFonts w:ascii="Consolas" w:hAnsi="Consolas"/>
          <w:sz w:val="20"/>
        </w:rPr>
        <w:t xml:space="preserve">        peStQueue[Private Endpoint Storage Queue]</w:t>
      </w:r>
    </w:p>
    <w:p>
      <w:r>
        <w:rPr>
          <w:rFonts w:ascii="Consolas" w:hAnsi="Consolas"/>
          <w:sz w:val="20"/>
        </w:rPr>
        <w:t xml:space="preserve">        peStDfs[Private Endpoint Storage DFS]</w:t>
      </w:r>
    </w:p>
    <w:p>
      <w:r>
        <w:rPr>
          <w:rFonts w:ascii="Consolas" w:hAnsi="Consolas"/>
          <w:sz w:val="20"/>
        </w:rPr>
        <w:t xml:space="preserve">        budget[Cost Budget Optional]</w:t>
      </w:r>
    </w:p>
    <w:p>
      <w:r>
        <w:rPr>
          <w:rFonts w:ascii="Consolas" w:hAnsi="Consolas"/>
          <w:sz w:val="20"/>
        </w:rPr>
        <w:t xml:space="preserve">    end</w:t>
      </w:r>
    </w:p>
    <w:p/>
    <w:p>
      <w:r>
        <w:rPr>
          <w:rFonts w:ascii="Consolas" w:hAnsi="Consolas"/>
          <w:sz w:val="20"/>
        </w:rPr>
        <w:t xml:space="preserve">    subgraph DnsPlane[Private DNS Zones]</w:t>
      </w:r>
    </w:p>
    <w:p>
      <w:r>
        <w:rPr>
          <w:rFonts w:ascii="Consolas" w:hAnsi="Consolas"/>
          <w:sz w:val="20"/>
        </w:rPr>
        <w:t xml:space="preserve">        dnsPvw[privatelink.purview.azure.com]</w:t>
      </w:r>
    </w:p>
    <w:p>
      <w:r>
        <w:rPr>
          <w:rFonts w:ascii="Consolas" w:hAnsi="Consolas"/>
          <w:sz w:val="20"/>
        </w:rPr>
        <w:t xml:space="preserve">        dnsStudio[privatelink.purviewstudio.azure.com]</w:t>
      </w:r>
    </w:p>
    <w:p>
      <w:r>
        <w:rPr>
          <w:rFonts w:ascii="Consolas" w:hAnsi="Consolas"/>
          <w:sz w:val="20"/>
        </w:rPr>
        <w:t xml:space="preserve">        dnsKv[privatelink.vaultcore.azure.net]</w:t>
      </w:r>
    </w:p>
    <w:p>
      <w:r>
        <w:rPr>
          <w:rFonts w:ascii="Consolas" w:hAnsi="Consolas"/>
          <w:sz w:val="20"/>
        </w:rPr>
        <w:t xml:space="preserve">        dnsBlob[privatelink.blob.core.windows.net]</w:t>
      </w:r>
    </w:p>
    <w:p>
      <w:r>
        <w:rPr>
          <w:rFonts w:ascii="Consolas" w:hAnsi="Consolas"/>
          <w:sz w:val="20"/>
        </w:rPr>
        <w:t xml:space="preserve">        dnsQueue[privatelink.queue.core.windows.net]</w:t>
      </w:r>
    </w:p>
    <w:p>
      <w:r>
        <w:rPr>
          <w:rFonts w:ascii="Consolas" w:hAnsi="Consolas"/>
          <w:sz w:val="20"/>
        </w:rPr>
        <w:t xml:space="preserve">        dnsDfs[privatelink.dfs.core.windows.net]</w:t>
      </w:r>
    </w:p>
    <w:p>
      <w:r>
        <w:rPr>
          <w:rFonts w:ascii="Consolas" w:hAnsi="Consolas"/>
          <w:sz w:val="20"/>
        </w:rPr>
        <w:t xml:space="preserve">    end</w:t>
      </w:r>
    </w:p>
    <w:p/>
    <w:p>
      <w:r>
        <w:rPr>
          <w:rFonts w:ascii="Consolas" w:hAnsi="Consolas"/>
          <w:sz w:val="20"/>
        </w:rPr>
        <w:t xml:space="preserve">    subgraph DataSources[Existing Data Sources]</w:t>
      </w:r>
    </w:p>
    <w:p>
      <w:r>
        <w:rPr>
          <w:rFonts w:ascii="Consolas" w:hAnsi="Consolas"/>
          <w:sz w:val="20"/>
        </w:rPr>
        <w:t xml:space="preserve">        adls[ADLS Gen2 Storage Account]</w:t>
      </w:r>
    </w:p>
    <w:p>
      <w:r>
        <w:rPr>
          <w:rFonts w:ascii="Consolas" w:hAnsi="Consolas"/>
          <w:sz w:val="20"/>
        </w:rPr>
        <w:t xml:space="preserve">        dbw[Databricks Workspace]</w:t>
      </w:r>
    </w:p>
    <w:p>
      <w:r>
        <w:rPr>
          <w:rFonts w:ascii="Consolas" w:hAnsi="Consolas"/>
          <w:sz w:val="20"/>
        </w:rPr>
        <w:t xml:space="preserve">        law[Log Analytics Workspace]</w:t>
      </w:r>
    </w:p>
    <w:p>
      <w:r>
        <w:rPr>
          <w:rFonts w:ascii="Consolas" w:hAnsi="Consolas"/>
          <w:sz w:val="20"/>
        </w:rPr>
        <w:t xml:space="preserve">    end</w:t>
      </w:r>
    </w:p>
    <w:p/>
    <w:p>
      <w:r>
        <w:rPr>
          <w:rFonts w:ascii="Consolas" w:hAnsi="Consolas"/>
          <w:sz w:val="20"/>
        </w:rPr>
        <w:t xml:space="preserve">    subgraph ControlPlane[Azure Platform Services]</w:t>
      </w:r>
    </w:p>
    <w:p>
      <w:r>
        <w:rPr>
          <w:rFonts w:ascii="Consolas" w:hAnsi="Consolas"/>
          <w:sz w:val="20"/>
        </w:rPr>
        <w:t xml:space="preserve">        aad[Azure AD]</w:t>
      </w:r>
    </w:p>
    <w:p>
      <w:r>
        <w:rPr>
          <w:rFonts w:ascii="Consolas" w:hAnsi="Consolas"/>
          <w:sz w:val="20"/>
        </w:rPr>
        <w:t xml:space="preserve">        monitor[Azure Monitor]</w:t>
      </w:r>
    </w:p>
    <w:p>
      <w:r>
        <w:rPr>
          <w:rFonts w:ascii="Consolas" w:hAnsi="Consolas"/>
          <w:sz w:val="20"/>
        </w:rPr>
        <w:t xml:space="preserve">        eventHub[Purview Managed Event Hub]</w:t>
      </w:r>
    </w:p>
    <w:p>
      <w:r>
        <w:rPr>
          <w:rFonts w:ascii="Consolas" w:hAnsi="Consolas"/>
          <w:sz w:val="20"/>
        </w:rPr>
        <w:t xml:space="preserve">    end</w:t>
      </w:r>
    </w:p>
    <w:p/>
    <w:p>
      <w:r>
        <w:rPr>
          <w:rFonts w:ascii="Consolas" w:hAnsi="Consolas"/>
          <w:sz w:val="20"/>
        </w:rPr>
        <w:t xml:space="preserve">    purview --&gt; aad</w:t>
      </w:r>
    </w:p>
    <w:p>
      <w:r>
        <w:rPr>
          <w:rFonts w:ascii="Consolas" w:hAnsi="Consolas"/>
          <w:sz w:val="20"/>
        </w:rPr>
        <w:t xml:space="preserve">    purview --&gt; monitor</w:t>
      </w:r>
    </w:p>
    <w:p>
      <w:r>
        <w:rPr>
          <w:rFonts w:ascii="Consolas" w:hAnsi="Consolas"/>
          <w:sz w:val="20"/>
        </w:rPr>
        <w:t xml:space="preserve">    purview --&gt; eventHub</w:t>
      </w:r>
    </w:p>
    <w:p/>
    <w:p>
      <w:r>
        <w:rPr>
          <w:rFonts w:ascii="Consolas" w:hAnsi="Consolas"/>
          <w:sz w:val="20"/>
        </w:rPr>
        <w:t xml:space="preserve">    purview --&gt; pePvwAcct</w:t>
      </w:r>
    </w:p>
    <w:p>
      <w:r>
        <w:rPr>
          <w:rFonts w:ascii="Consolas" w:hAnsi="Consolas"/>
          <w:sz w:val="20"/>
        </w:rPr>
        <w:t xml:space="preserve">    purview --&gt; pePvwPortal</w:t>
      </w:r>
    </w:p>
    <w:p>
      <w:r>
        <w:rPr>
          <w:rFonts w:ascii="Consolas" w:hAnsi="Consolas"/>
          <w:sz w:val="20"/>
        </w:rPr>
        <w:t xml:space="preserve">    purview --&gt; peKv</w:t>
      </w:r>
    </w:p>
    <w:p>
      <w:r>
        <w:rPr>
          <w:rFonts w:ascii="Consolas" w:hAnsi="Consolas"/>
          <w:sz w:val="20"/>
        </w:rPr>
        <w:t xml:space="preserve">    purview --&gt; peStBlob</w:t>
      </w:r>
    </w:p>
    <w:p>
      <w:r>
        <w:rPr>
          <w:rFonts w:ascii="Consolas" w:hAnsi="Consolas"/>
          <w:sz w:val="20"/>
        </w:rPr>
        <w:t xml:space="preserve">    purview --&gt; peStQueue</w:t>
      </w:r>
    </w:p>
    <w:p>
      <w:r>
        <w:rPr>
          <w:rFonts w:ascii="Consolas" w:hAnsi="Consolas"/>
          <w:sz w:val="20"/>
        </w:rPr>
        <w:t xml:space="preserve">    purview --&gt; peStDfs</w:t>
      </w:r>
    </w:p>
    <w:p/>
    <w:p>
      <w:r>
        <w:rPr>
          <w:rFonts w:ascii="Consolas" w:hAnsi="Consolas"/>
          <w:sz w:val="20"/>
        </w:rPr>
        <w:t xml:space="preserve">    pePvwAcct --- subnet</w:t>
      </w:r>
    </w:p>
    <w:p>
      <w:r>
        <w:rPr>
          <w:rFonts w:ascii="Consolas" w:hAnsi="Consolas"/>
          <w:sz w:val="20"/>
        </w:rPr>
        <w:t xml:space="preserve">    pePvwPortal --- subnet</w:t>
      </w:r>
    </w:p>
    <w:p>
      <w:r>
        <w:rPr>
          <w:rFonts w:ascii="Consolas" w:hAnsi="Consolas"/>
          <w:sz w:val="20"/>
        </w:rPr>
        <w:t xml:space="preserve">    peKv --- subnet</w:t>
      </w:r>
    </w:p>
    <w:p>
      <w:r>
        <w:rPr>
          <w:rFonts w:ascii="Consolas" w:hAnsi="Consolas"/>
          <w:sz w:val="20"/>
        </w:rPr>
        <w:t xml:space="preserve">    peStBlob --- subnet</w:t>
      </w:r>
    </w:p>
    <w:p>
      <w:r>
        <w:rPr>
          <w:rFonts w:ascii="Consolas" w:hAnsi="Consolas"/>
          <w:sz w:val="20"/>
        </w:rPr>
        <w:t xml:space="preserve">    peStQueue --- subnet</w:t>
      </w:r>
    </w:p>
    <w:p>
      <w:r>
        <w:rPr>
          <w:rFonts w:ascii="Consolas" w:hAnsi="Consolas"/>
          <w:sz w:val="20"/>
        </w:rPr>
        <w:t xml:space="preserve">    peStDfs --- subnet</w:t>
      </w:r>
    </w:p>
    <w:p/>
    <w:p>
      <w:r>
        <w:rPr>
          <w:rFonts w:ascii="Consolas" w:hAnsi="Consolas"/>
          <w:sz w:val="20"/>
        </w:rPr>
        <w:t xml:space="preserve">    pePvwAcct --&gt; dnsPvw</w:t>
      </w:r>
    </w:p>
    <w:p>
      <w:r>
        <w:rPr>
          <w:rFonts w:ascii="Consolas" w:hAnsi="Consolas"/>
          <w:sz w:val="20"/>
        </w:rPr>
        <w:t xml:space="preserve">    pePvwPortal --&gt; dnsStudio</w:t>
      </w:r>
    </w:p>
    <w:p>
      <w:r>
        <w:rPr>
          <w:rFonts w:ascii="Consolas" w:hAnsi="Consolas"/>
          <w:sz w:val="20"/>
        </w:rPr>
        <w:t xml:space="preserve">    peKv --&gt; dnsKv</w:t>
      </w:r>
    </w:p>
    <w:p>
      <w:r>
        <w:rPr>
          <w:rFonts w:ascii="Consolas" w:hAnsi="Consolas"/>
          <w:sz w:val="20"/>
        </w:rPr>
        <w:t xml:space="preserve">    peStBlob --&gt; dnsBlob</w:t>
      </w:r>
    </w:p>
    <w:p>
      <w:r>
        <w:rPr>
          <w:rFonts w:ascii="Consolas" w:hAnsi="Consolas"/>
          <w:sz w:val="20"/>
        </w:rPr>
        <w:t xml:space="preserve">    peStQueue --&gt; dnsQueue</w:t>
      </w:r>
    </w:p>
    <w:p>
      <w:r>
        <w:rPr>
          <w:rFonts w:ascii="Consolas" w:hAnsi="Consolas"/>
          <w:sz w:val="20"/>
        </w:rPr>
        <w:t xml:space="preserve">    peStDfs --&gt; dnsDfs</w:t>
      </w:r>
    </w:p>
    <w:p>
      <w:r>
        <w:rPr>
          <w:rFonts w:ascii="Consolas" w:hAnsi="Consolas"/>
          <w:sz w:val="20"/>
        </w:rPr>
        <w:t xml:space="preserve">    dnsLinks --- DnsPlane</w:t>
      </w:r>
    </w:p>
    <w:p/>
    <w:p>
      <w:r>
        <w:rPr>
          <w:rFonts w:ascii="Consolas" w:hAnsi="Consolas"/>
          <w:sz w:val="20"/>
        </w:rPr>
        <w:t xml:space="preserve">    purview -. RBAC Reader .-&gt; adls</w:t>
      </w:r>
    </w:p>
    <w:p>
      <w:r>
        <w:rPr>
          <w:rFonts w:ascii="Consolas" w:hAnsi="Consolas"/>
          <w:sz w:val="20"/>
        </w:rPr>
        <w:t xml:space="preserve">    purview -. RBAC Reader .-&gt; dbw</w:t>
      </w:r>
    </w:p>
    <w:p>
      <w:r>
        <w:rPr>
          <w:rFonts w:ascii="Consolas" w:hAnsi="Consolas"/>
          <w:sz w:val="20"/>
        </w:rPr>
        <w:t xml:space="preserve">    purview --&gt; law</w:t>
      </w:r>
    </w:p>
    <w:p/>
    <w:p>
      <w:r>
        <w:rPr>
          <w:rFonts w:ascii="Consolas" w:hAnsi="Consolas"/>
          <w:sz w:val="20"/>
        </w:rPr>
        <w:t xml:space="preserve">    purview -. Optional managed private endpoint .-&gt; adls</w:t>
      </w:r>
    </w:p>
    <w:p>
      <w:r>
        <w:rPr>
          <w:rFonts w:ascii="Consolas" w:hAnsi="Consolas"/>
          <w:sz w:val="20"/>
        </w:rPr>
        <w:t xml:space="preserve">    purview -. Optional managed private endpoint .-&gt; dbw</w:t>
      </w:r>
    </w:p>
    <w:p/>
    <w:p>
      <w:r>
        <w:rPr>
          <w:rFonts w:ascii="Consolas" w:hAnsi="Consolas"/>
          <w:sz w:val="20"/>
        </w:rPr>
        <w:t xml:space="preserve">    nsg --- subnet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Private DNS zones are either created in this stack or read from an existing hub subscription.</w:t>
      </w:r>
    </w:p>
    <w:p>
      <w:pPr>
        <w:pStyle w:val="ListBullet"/>
      </w:pPr>
      <w:r>
        <w:t>Purview account naming is explicit; Key Vault, Storage, NSG, and Resource Group names are generated by the naming module.</w:t>
      </w:r>
    </w:p>
    <w:p>
      <w:pPr>
        <w:pStyle w:val="ListBullet"/>
      </w:pPr>
      <w:r>
        <w:t>Managed private endpoints to ADLS and Databricks are optional and controlled by feature flags.</w:t>
      </w:r>
    </w:p>
    <w:p>
      <w:r>
        <w:br w:type="page"/>
      </w:r>
    </w:p>
    <w:p>
      <w:pPr>
        <w:pStyle w:val="Heading1"/>
      </w:pPr>
      <w:r>
        <w:t>Purview Detailed Design</w:t>
      </w:r>
    </w:p>
    <w:p/>
    <w:p>
      <w:pPr>
        <w:pStyle w:val="Heading2"/>
      </w:pPr>
      <w:r>
        <w:t>1. Design Intent</w:t>
      </w:r>
    </w:p>
    <w:p/>
    <w:p>
      <w:r>
        <w:t>The implementation provisions a production-oriented Purview landing zone with private connectivity, security controls, diagnostics, and optional cost governance.</w:t>
      </w:r>
    </w:p>
    <w:p/>
    <w:p>
      <w:pPr>
        <w:pStyle w:val="Heading2"/>
      </w:pPr>
      <w:r>
        <w:t>2. Implementation Structure</w:t>
      </w:r>
    </w:p>
    <w:p/>
    <w:p>
      <w:pPr>
        <w:pStyle w:val="ListBullet"/>
      </w:pPr>
      <w:r>
        <w:t>Core orchestration: `main.tf`</w:t>
      </w:r>
    </w:p>
    <w:p>
      <w:pPr>
        <w:pStyle w:val="ListBullet"/>
      </w:pPr>
      <w:r>
        <w:t>Providers and cross-subscription DNS provider alias: `providers.tf`</w:t>
      </w:r>
    </w:p>
    <w:p>
      <w:pPr>
        <w:pStyle w:val="ListBullet"/>
      </w:pPr>
      <w:r>
        <w:t>Inputs and feature flags: `variables.tf`</w:t>
      </w:r>
    </w:p>
    <w:p>
      <w:pPr>
        <w:pStyle w:val="ListBullet"/>
      </w:pPr>
      <w:r>
        <w:t>Naming module invocation: `naming-convention.tf`</w:t>
      </w:r>
    </w:p>
    <w:p>
      <w:pPr>
        <w:pStyle w:val="ListBullet"/>
      </w:pPr>
      <w:r>
        <w:t>Outputs for integration and operations: `outputs.tf`</w:t>
      </w:r>
    </w:p>
    <w:p>
      <w:pPr>
        <w:pStyle w:val="ListBullet"/>
      </w:pPr>
      <w:r>
        <w:t>Environment configuration model:</w:t>
      </w:r>
    </w:p>
    <w:p>
      <w:pPr>
        <w:pStyle w:val="ListBullet"/>
      </w:pPr>
      <w:r>
        <w:t>`env/common.hcl`</w:t>
      </w:r>
    </w:p>
    <w:p>
      <w:pPr>
        <w:pStyle w:val="ListBullet"/>
      </w:pPr>
      <w:r>
        <w:t>`env/prd/data-governance-env.hcl`</w:t>
      </w:r>
    </w:p>
    <w:p>
      <w:pPr>
        <w:pStyle w:val="ListBullet"/>
      </w:pPr>
      <w:r>
        <w:t>`env/prd/data-governance/terragrunt.hcl`</w:t>
      </w:r>
    </w:p>
    <w:p/>
    <w:p>
      <w:pPr>
        <w:pStyle w:val="Heading2"/>
      </w:pPr>
      <w:r>
        <w:t>3. Resource Design</w:t>
      </w:r>
    </w:p>
    <w:p/>
    <w:p>
      <w:pPr>
        <w:pStyle w:val="Heading3"/>
      </w:pPr>
      <w:r>
        <w:t>3.1 Resource Group and Naming</w:t>
      </w:r>
    </w:p>
    <w:p/>
    <w:p>
      <w:pPr>
        <w:pStyle w:val="ListBullet"/>
      </w:pPr>
      <w:r>
        <w:t>Resource group name comes from the naming module output.</w:t>
      </w:r>
    </w:p>
    <w:p>
      <w:pPr>
        <w:pStyle w:val="ListBullet"/>
      </w:pPr>
      <w:r>
        <w:t>The following names are generated by naming conventions:</w:t>
      </w:r>
    </w:p>
    <w:p>
      <w:pPr>
        <w:pStyle w:val="ListBullet"/>
      </w:pPr>
      <w:r>
        <w:t>Resource Group</w:t>
      </w:r>
    </w:p>
    <w:p>
      <w:pPr>
        <w:pStyle w:val="ListBullet"/>
      </w:pPr>
      <w:r>
        <w:t>NSG</w:t>
      </w:r>
    </w:p>
    <w:p>
      <w:pPr>
        <w:pStyle w:val="ListBullet"/>
      </w:pPr>
      <w:r>
        <w:t>Key Vault</w:t>
      </w:r>
    </w:p>
    <w:p>
      <w:pPr>
        <w:pStyle w:val="ListBullet"/>
      </w:pPr>
      <w:r>
        <w:t>Diagnostic Storage</w:t>
      </w:r>
    </w:p>
    <w:p>
      <w:pPr>
        <w:pStyle w:val="ListBullet"/>
      </w:pPr>
      <w:r>
        <w:t>Purview account name remains explicit input.</w:t>
      </w:r>
    </w:p>
    <w:p/>
    <w:p>
      <w:pPr>
        <w:pStyle w:val="Heading3"/>
      </w:pPr>
      <w:r>
        <w:t>3.2 Purview Account</w:t>
      </w:r>
    </w:p>
    <w:p/>
    <w:p>
      <w:pPr>
        <w:pStyle w:val="ListBullet"/>
      </w:pPr>
      <w:r>
        <w:t>Deploys Microsoft Purview account with system-assigned managed identity.</w:t>
      </w:r>
    </w:p>
    <w:p>
      <w:pPr>
        <w:pStyle w:val="ListBullet"/>
      </w:pPr>
      <w:r>
        <w:t>Uses a dedicated managed resource group for Purview-managed services.</w:t>
      </w:r>
    </w:p>
    <w:p/>
    <w:p>
      <w:pPr>
        <w:pStyle w:val="Heading3"/>
      </w:pPr>
      <w:r>
        <w:t>3.3 Network Security Group</w:t>
      </w:r>
    </w:p>
    <w:p/>
    <w:p>
      <w:pPr>
        <w:pStyle w:val="ListBullet"/>
      </w:pPr>
      <w:r>
        <w:t>Explicit outbound allow-list for required service tags:</w:t>
      </w:r>
    </w:p>
    <w:p>
      <w:pPr>
        <w:pStyle w:val="ListBullet"/>
      </w:pPr>
      <w:r>
        <w:t>AzureActiveDirectory</w:t>
      </w:r>
    </w:p>
    <w:p>
      <w:pPr>
        <w:pStyle w:val="ListBullet"/>
      </w:pPr>
      <w:r>
        <w:t>AzureMonitor</w:t>
      </w:r>
    </w:p>
    <w:p>
      <w:pPr>
        <w:pStyle w:val="ListBullet"/>
      </w:pPr>
      <w:r>
        <w:t>Storage</w:t>
      </w:r>
    </w:p>
    <w:p>
      <w:pPr>
        <w:pStyle w:val="ListBullet"/>
      </w:pPr>
      <w:r>
        <w:t>EventHub</w:t>
      </w:r>
    </w:p>
    <w:p>
      <w:pPr>
        <w:pStyle w:val="ListBullet"/>
      </w:pPr>
      <w:r>
        <w:t>AzureKeyVault</w:t>
      </w:r>
    </w:p>
    <w:p>
      <w:pPr>
        <w:pStyle w:val="ListBullet"/>
      </w:pPr>
      <w:r>
        <w:t>VirtualNetwork</w:t>
      </w:r>
    </w:p>
    <w:p>
      <w:pPr>
        <w:pStyle w:val="ListBullet"/>
      </w:pPr>
      <w:r>
        <w:t>Default deny rules are applied for unmatched inbound/outbound traffic.</w:t>
      </w:r>
    </w:p>
    <w:p/>
    <w:p>
      <w:pPr>
        <w:pStyle w:val="Heading3"/>
      </w:pPr>
      <w:r>
        <w:t>3.4 Private Endpoints and DNS</w:t>
      </w:r>
    </w:p>
    <w:p/>
    <w:p>
      <w:pPr>
        <w:pStyle w:val="ListBullet"/>
      </w:pPr>
      <w:r>
        <w:t>Private endpoints are created for:</w:t>
      </w:r>
    </w:p>
    <w:p>
      <w:pPr>
        <w:pStyle w:val="ListBullet"/>
      </w:pPr>
      <w:r>
        <w:t>Purview account</w:t>
      </w:r>
    </w:p>
    <w:p>
      <w:pPr>
        <w:pStyle w:val="ListBullet"/>
      </w:pPr>
      <w:r>
        <w:t>Purview portal</w:t>
      </w:r>
    </w:p>
    <w:p>
      <w:pPr>
        <w:pStyle w:val="ListBullet"/>
      </w:pPr>
      <w:r>
        <w:t>Key Vault</w:t>
      </w:r>
    </w:p>
    <w:p>
      <w:pPr>
        <w:pStyle w:val="ListBullet"/>
      </w:pPr>
      <w:r>
        <w:t>Diagnostic Storage blob</w:t>
      </w:r>
    </w:p>
    <w:p>
      <w:pPr>
        <w:pStyle w:val="ListBullet"/>
      </w:pPr>
      <w:r>
        <w:t>Diagnostic Storage queue</w:t>
      </w:r>
    </w:p>
    <w:p>
      <w:pPr>
        <w:pStyle w:val="ListBullet"/>
      </w:pPr>
      <w:r>
        <w:t>Diagnostic Storage dfs</w:t>
      </w:r>
    </w:p>
    <w:p>
      <w:pPr>
        <w:pStyle w:val="ListBullet"/>
      </w:pPr>
      <w:r>
        <w:t>DNS zone strategy is switchable:</w:t>
      </w:r>
    </w:p>
    <w:p>
      <w:pPr>
        <w:pStyle w:val="ListBullet"/>
      </w:pPr>
      <w:r>
        <w:t>Create zones in this deployment when `create_private_dns_zones = true`</w:t>
      </w:r>
    </w:p>
    <w:p>
      <w:pPr>
        <w:pStyle w:val="ListBullet"/>
      </w:pPr>
      <w:r>
        <w:t>Reuse existing hub zones when `create_private_dns_zones = false`</w:t>
      </w:r>
    </w:p>
    <w:p>
      <w:pPr>
        <w:pStyle w:val="ListBullet"/>
      </w:pPr>
      <w:r>
        <w:t>Existing DNS zones can be read from another subscription through `azurerm.hub` provider alias.</w:t>
      </w:r>
    </w:p>
    <w:p/>
    <w:p>
      <w:pPr>
        <w:pStyle w:val="Heading3"/>
      </w:pPr>
      <w:r>
        <w:t>3.5 Key Vault</w:t>
      </w:r>
    </w:p>
    <w:p/>
    <w:p>
      <w:pPr>
        <w:pStyle w:val="ListBullet"/>
      </w:pPr>
      <w:r>
        <w:t>RBAC authorization enabled.</w:t>
      </w:r>
    </w:p>
    <w:p>
      <w:pPr>
        <w:pStyle w:val="ListBullet"/>
      </w:pPr>
      <w:r>
        <w:t>Public network access disabled.</w:t>
      </w:r>
    </w:p>
    <w:p>
      <w:pPr>
        <w:pStyle w:val="ListBullet"/>
      </w:pPr>
      <w:r>
        <w:t>Soft delete and purge protection enabled.</w:t>
      </w:r>
    </w:p>
    <w:p>
      <w:pPr>
        <w:pStyle w:val="ListBullet"/>
      </w:pPr>
      <w:r>
        <w:t>Network ACL default action set to deny.</w:t>
      </w:r>
    </w:p>
    <w:p/>
    <w:p>
      <w:pPr>
        <w:pStyle w:val="Heading3"/>
      </w:pPr>
      <w:r>
        <w:t>3.6 Diagnostic Storage</w:t>
      </w:r>
    </w:p>
    <w:p/>
    <w:p>
      <w:pPr>
        <w:pStyle w:val="ListBullet"/>
      </w:pPr>
      <w:r>
        <w:t>StorageV2 with GRS and private access controls.</w:t>
      </w:r>
    </w:p>
    <w:p>
      <w:pPr>
        <w:pStyle w:val="ListBullet"/>
      </w:pPr>
      <w:r>
        <w:t>Public access disabled.</w:t>
      </w:r>
    </w:p>
    <w:p>
      <w:pPr>
        <w:pStyle w:val="ListBullet"/>
      </w:pPr>
      <w:r>
        <w:t>Shared key access disabled.</w:t>
      </w:r>
    </w:p>
    <w:p>
      <w:pPr>
        <w:pStyle w:val="ListBullet"/>
      </w:pPr>
      <w:r>
        <w:t>Network rules default to deny.</w:t>
      </w:r>
    </w:p>
    <w:p/>
    <w:p>
      <w:pPr>
        <w:pStyle w:val="Heading3"/>
      </w:pPr>
      <w:r>
        <w:t>3.7 Diagnostics and Monitoring</w:t>
      </w:r>
    </w:p>
    <w:p/>
    <w:p>
      <w:pPr>
        <w:pStyle w:val="ListBullet"/>
      </w:pPr>
      <w:r>
        <w:t>Purview diagnostic settings send telemetry to:</w:t>
      </w:r>
    </w:p>
    <w:p>
      <w:pPr>
        <w:pStyle w:val="ListBullet"/>
      </w:pPr>
      <w:r>
        <w:t>Log Analytics workspace</w:t>
      </w:r>
    </w:p>
    <w:p>
      <w:pPr>
        <w:pStyle w:val="ListBullet"/>
      </w:pPr>
      <w:r>
        <w:t>Diagnostic storage account</w:t>
      </w:r>
    </w:p>
    <w:p>
      <w:pPr>
        <w:pStyle w:val="ListBullet"/>
      </w:pPr>
      <w:r>
        <w:t>Metrics include `AllMetrics`.</w:t>
      </w:r>
    </w:p>
    <w:p/>
    <w:p>
      <w:pPr>
        <w:pStyle w:val="Heading3"/>
      </w:pPr>
      <w:r>
        <w:t>3.8 RBAC Model</w:t>
      </w:r>
    </w:p>
    <w:p/>
    <w:p>
      <w:r>
        <w:t>Purview managed identity receives:</w:t>
      </w:r>
    </w:p>
    <w:p/>
    <w:p>
      <w:pPr>
        <w:pStyle w:val="ListBullet"/>
      </w:pPr>
      <w:r>
        <w:t>Subscription `Reader`</w:t>
      </w:r>
    </w:p>
    <w:p>
      <w:pPr>
        <w:pStyle w:val="ListBullet"/>
      </w:pPr>
      <w:r>
        <w:t>Key Vault `Key Vault Secrets User`</w:t>
      </w:r>
    </w:p>
    <w:p>
      <w:pPr>
        <w:pStyle w:val="ListBullet"/>
      </w:pPr>
      <w:r>
        <w:t>Diagnostic storage `Storage Blob Data Contributor`</w:t>
      </w:r>
    </w:p>
    <w:p>
      <w:pPr>
        <w:pStyle w:val="ListBullet"/>
      </w:pPr>
      <w:r>
        <w:t>ADLS `Storage Blob Data Reader`</w:t>
      </w:r>
    </w:p>
    <w:p>
      <w:pPr>
        <w:pStyle w:val="ListBullet"/>
      </w:pPr>
      <w:r>
        <w:t>Databricks workspace `Reader`</w:t>
      </w:r>
    </w:p>
    <w:p/>
    <w:p>
      <w:pPr>
        <w:pStyle w:val="Heading3"/>
      </w:pPr>
      <w:r>
        <w:t>3.9 Budget and Cost Controls</w:t>
      </w:r>
    </w:p>
    <w:p/>
    <w:p>
      <w:pPr>
        <w:pStyle w:val="ListBullet"/>
      </w:pPr>
      <w:r>
        <w:t>Budget module is optional through `enable_purview_budget`.</w:t>
      </w:r>
    </w:p>
    <w:p>
      <w:pPr>
        <w:pStyle w:val="ListBullet"/>
      </w:pPr>
      <w:r>
        <w:t>When enabled, monthly budget is created on the Purview resource group with:</w:t>
      </w:r>
    </w:p>
    <w:p>
      <w:pPr>
        <w:pStyle w:val="ListBullet"/>
      </w:pPr>
      <w:r>
        <w:t>80 percent actual threshold</w:t>
      </w:r>
    </w:p>
    <w:p>
      <w:pPr>
        <w:pStyle w:val="ListBullet"/>
      </w:pPr>
      <w:r>
        <w:t>90 percent forecast threshold</w:t>
      </w:r>
    </w:p>
    <w:p>
      <w:pPr>
        <w:pStyle w:val="ListBullet"/>
      </w:pPr>
      <w:r>
        <w:t>100 percent actual threshold</w:t>
      </w:r>
    </w:p>
    <w:p/>
    <w:p>
      <w:pPr>
        <w:pStyle w:val="Heading3"/>
      </w:pPr>
      <w:r>
        <w:t>3.10 Managed Private Endpoints</w:t>
      </w:r>
    </w:p>
    <w:p/>
    <w:p>
      <w:pPr>
        <w:pStyle w:val="ListBullet"/>
      </w:pPr>
      <w:r>
        <w:t>Optional module to request Purview managed private endpoints to:</w:t>
      </w:r>
    </w:p>
    <w:p>
      <w:pPr>
        <w:pStyle w:val="ListBullet"/>
      </w:pPr>
      <w:r>
        <w:t>ADLS</w:t>
      </w:r>
    </w:p>
    <w:p>
      <w:pPr>
        <w:pStyle w:val="ListBullet"/>
      </w:pPr>
      <w:r>
        <w:t>Databricks</w:t>
      </w:r>
    </w:p>
    <w:p>
      <w:pPr>
        <w:pStyle w:val="ListBullet"/>
      </w:pPr>
      <w:r>
        <w:t>Controlled by:</w:t>
      </w:r>
    </w:p>
    <w:p>
      <w:pPr>
        <w:pStyle w:val="ListBullet"/>
      </w:pPr>
      <w:r>
        <w:t>`create_managed_private_endpoints`</w:t>
      </w:r>
    </w:p>
    <w:p>
      <w:pPr>
        <w:pStyle w:val="ListBullet"/>
      </w:pPr>
      <w:r>
        <w:t>`enable_adls_managed_endpoint`</w:t>
      </w:r>
    </w:p>
    <w:p>
      <w:pPr>
        <w:pStyle w:val="ListBullet"/>
      </w:pPr>
      <w:r>
        <w:t>`enable_databricks_managed_endpoint`</w:t>
      </w:r>
    </w:p>
    <w:p/>
    <w:p>
      <w:pPr>
        <w:pStyle w:val="Heading2"/>
      </w:pPr>
      <w:r>
        <w:t>4. Configuration Inputs</w:t>
      </w:r>
    </w:p>
    <w:p/>
    <w:p>
      <w:r>
        <w:t>Key mandatory inputs:</w:t>
      </w:r>
    </w:p>
    <w:p/>
    <w:p>
      <w:pPr>
        <w:pStyle w:val="ListBullet"/>
      </w:pPr>
      <w:r>
        <w:t>`subscription_id`</w:t>
      </w:r>
    </w:p>
    <w:p>
      <w:pPr>
        <w:pStyle w:val="ListBullet"/>
      </w:pPr>
      <w:r>
        <w:t>`environment`</w:t>
      </w:r>
    </w:p>
    <w:p>
      <w:pPr>
        <w:pStyle w:val="ListBullet"/>
      </w:pPr>
      <w:r>
        <w:t>`location`</w:t>
      </w:r>
    </w:p>
    <w:p>
      <w:pPr>
        <w:pStyle w:val="ListBullet"/>
      </w:pPr>
      <w:r>
        <w:t>`naming_prefixes`</w:t>
      </w:r>
    </w:p>
    <w:p>
      <w:pPr>
        <w:pStyle w:val="ListBullet"/>
      </w:pPr>
      <w:r>
        <w:t>`naming_suffixes`</w:t>
      </w:r>
    </w:p>
    <w:p>
      <w:pPr>
        <w:pStyle w:val="ListBullet"/>
      </w:pPr>
      <w:r>
        <w:t>`purview_account_name`</w:t>
      </w:r>
    </w:p>
    <w:p>
      <w:pPr>
        <w:pStyle w:val="ListBullet"/>
      </w:pPr>
      <w:r>
        <w:t>`existing_vnet_resource_id`</w:t>
      </w:r>
    </w:p>
    <w:p>
      <w:pPr>
        <w:pStyle w:val="ListBullet"/>
      </w:pPr>
      <w:r>
        <w:t>`private_endpoint_subnet_name`</w:t>
      </w:r>
    </w:p>
    <w:p>
      <w:pPr>
        <w:pStyle w:val="ListBullet"/>
      </w:pPr>
      <w:r>
        <w:t>`log_analytics_workspace_resource_id`</w:t>
      </w:r>
    </w:p>
    <w:p>
      <w:pPr>
        <w:pStyle w:val="ListBullet"/>
      </w:pPr>
      <w:r>
        <w:t>`adls_storage_account_resource_id`</w:t>
      </w:r>
    </w:p>
    <w:p>
      <w:pPr>
        <w:pStyle w:val="ListBullet"/>
      </w:pPr>
      <w:r>
        <w:t>`databricks_workspace_resource_id`</w:t>
      </w:r>
    </w:p>
    <w:p/>
    <w:p>
      <w:r>
        <w:t>Cross-subscription DNS support input:</w:t>
      </w:r>
    </w:p>
    <w:p/>
    <w:p>
      <w:pPr>
        <w:pStyle w:val="ListBullet"/>
      </w:pPr>
      <w:r>
        <w:t>`existing_private_dns_zone_subscription_id`</w:t>
      </w:r>
    </w:p>
    <w:p/>
    <w:p>
      <w:r>
        <w:t>Feature flags:</w:t>
      </w:r>
    </w:p>
    <w:p/>
    <w:p>
      <w:pPr>
        <w:pStyle w:val="ListBullet"/>
      </w:pPr>
      <w:r>
        <w:t>`create_private_dns_zones`</w:t>
      </w:r>
    </w:p>
    <w:p>
      <w:pPr>
        <w:pStyle w:val="ListBullet"/>
      </w:pPr>
      <w:r>
        <w:t>`create_managed_private_endpoints`</w:t>
      </w:r>
    </w:p>
    <w:p>
      <w:pPr>
        <w:pStyle w:val="ListBullet"/>
      </w:pPr>
      <w:r>
        <w:t>`enable_adls_managed_endpoint`</w:t>
      </w:r>
    </w:p>
    <w:p>
      <w:pPr>
        <w:pStyle w:val="ListBullet"/>
      </w:pPr>
      <w:r>
        <w:t>`enable_databricks_managed_endpoint`</w:t>
      </w:r>
    </w:p>
    <w:p>
      <w:pPr>
        <w:pStyle w:val="ListBullet"/>
      </w:pPr>
      <w:r>
        <w:t>`enable_purview_budget`</w:t>
      </w:r>
    </w:p>
    <w:p/>
    <w:p>
      <w:pPr>
        <w:pStyle w:val="Heading2"/>
      </w:pPr>
      <w:r>
        <w:t>5. Deployment Flow</w:t>
      </w:r>
    </w:p>
    <w:p/>
    <w:p>
      <w:pPr>
        <w:pStyle w:val="ListNumber"/>
      </w:pPr>
      <w:r>
        <w:t>Resolve environment and naming inputs.</w:t>
      </w:r>
    </w:p>
    <w:p>
      <w:pPr>
        <w:pStyle w:val="ListNumber"/>
      </w:pPr>
      <w:r>
        <w:t>Resolve VNet and optional existing DNS zones.</w:t>
      </w:r>
    </w:p>
    <w:p>
      <w:pPr>
        <w:pStyle w:val="ListNumber"/>
      </w:pPr>
      <w:r>
        <w:t>Create resource group.</w:t>
      </w:r>
    </w:p>
    <w:p>
      <w:pPr>
        <w:pStyle w:val="ListNumber"/>
      </w:pPr>
      <w:r>
        <w:t>Deploy Purview, NSG, Key Vault, and diagnostic storage.</w:t>
      </w:r>
    </w:p>
    <w:p>
      <w:pPr>
        <w:pStyle w:val="ListNumber"/>
      </w:pPr>
      <w:r>
        <w:t>Create private DNS zones or bind existing hub zones.</w:t>
      </w:r>
    </w:p>
    <w:p>
      <w:pPr>
        <w:pStyle w:val="ListNumber"/>
      </w:pPr>
      <w:r>
        <w:t>Create private endpoints and DNS associations.</w:t>
      </w:r>
    </w:p>
    <w:p>
      <w:pPr>
        <w:pStyle w:val="ListNumber"/>
      </w:pPr>
      <w:r>
        <w:t>Configure diagnostics.</w:t>
      </w:r>
    </w:p>
    <w:p>
      <w:pPr>
        <w:pStyle w:val="ListNumber"/>
      </w:pPr>
      <w:r>
        <w:t>Apply RBAC assignments.</w:t>
      </w:r>
    </w:p>
    <w:p>
      <w:pPr>
        <w:pStyle w:val="ListNumber"/>
      </w:pPr>
      <w:r>
        <w:t>Optionally create budget.</w:t>
      </w:r>
    </w:p>
    <w:p>
      <w:r>
        <w:t>10. Optionally request managed private endpoints.</w:t>
      </w:r>
    </w:p>
    <w:p/>
    <w:p>
      <w:pPr>
        <w:pStyle w:val="Heading2"/>
      </w:pPr>
      <w:r>
        <w:t>6. Operational Considerations</w:t>
      </w:r>
    </w:p>
    <w:p/>
    <w:p>
      <w:pPr>
        <w:pStyle w:val="ListBullet"/>
      </w:pPr>
      <w:r>
        <w:t>Ensure subnet policy and private endpoint subnet readiness in the landing zone.</w:t>
      </w:r>
    </w:p>
    <w:p>
      <w:pPr>
        <w:pStyle w:val="ListBullet"/>
      </w:pPr>
      <w:r>
        <w:t>If using existing DNS zones in hub subscription, ensure the deployment identity has read access in the hub subscription and resource group.</w:t>
      </w:r>
    </w:p>
    <w:p>
      <w:pPr>
        <w:pStyle w:val="ListBullet"/>
      </w:pPr>
      <w:r>
        <w:t>Managed private endpoint requests require downstream approval at data source owners.</w:t>
      </w:r>
    </w:p>
    <w:p>
      <w:pPr>
        <w:pStyle w:val="ListBullet"/>
      </w:pPr>
      <w:r>
        <w:t>Remote module source access requires valid Git SSH host trust and credentials.</w:t>
      </w:r>
    </w:p>
    <w:p/>
    <w:p>
      <w:pPr>
        <w:pStyle w:val="Heading2"/>
      </w:pPr>
      <w:r>
        <w:t>7. Outputs and Integration</w:t>
      </w:r>
    </w:p>
    <w:p/>
    <w:p>
      <w:r>
        <w:t>Primary outputs expose:</w:t>
      </w:r>
    </w:p>
    <w:p/>
    <w:p>
      <w:pPr>
        <w:pStyle w:val="ListBullet"/>
      </w:pPr>
      <w:r>
        <w:t>Resource group name</w:t>
      </w:r>
    </w:p>
    <w:p>
      <w:pPr>
        <w:pStyle w:val="ListBullet"/>
      </w:pPr>
      <w:r>
        <w:t>Purview resource name and ID</w:t>
      </w:r>
    </w:p>
    <w:p>
      <w:pPr>
        <w:pStyle w:val="ListBullet"/>
      </w:pPr>
      <w:r>
        <w:t>Purview managed identity principal ID</w:t>
      </w:r>
    </w:p>
    <w:p>
      <w:pPr>
        <w:pStyle w:val="ListBullet"/>
      </w:pPr>
      <w:r>
        <w:t>Purview catalog and scan endpoints</w:t>
      </w:r>
    </w:p>
    <w:p>
      <w:pPr>
        <w:pStyle w:val="ListBullet"/>
      </w:pPr>
      <w:r>
        <w:t>Key Vault resource ID and URI</w:t>
      </w:r>
    </w:p>
    <w:p>
      <w:pPr>
        <w:pStyle w:val="ListBullet"/>
      </w:pPr>
      <w:r>
        <w:t>Diagnostic storage resource ID</w:t>
      </w:r>
    </w:p>
    <w:p>
      <w:pPr>
        <w:pStyle w:val="ListBullet"/>
      </w:pPr>
      <w:r>
        <w:t>Private endpoint IDs</w:t>
      </w:r>
    </w:p>
    <w:p>
      <w:pPr>
        <w:pStyle w:val="ListBullet"/>
      </w:pPr>
      <w:r>
        <w:t>Purview managed resource group ID</w:t>
      </w:r>
    </w:p>
    <w:p>
      <w:pPr>
        <w:pStyle w:val="ListBullet"/>
      </w:pPr>
      <w:r>
        <w:t>Managed private endpoints created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