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wmf" ContentType="image/x-wmf"/>
  <Override PartName="/word/media/image2.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2642" w:type="dxa"/>
        <w:jc w:val="left"/>
        <w:tblInd w:w="7659" w:type="dxa"/>
        <w:tblLayout w:type="fixed"/>
        <w:tblCellMar>
          <w:top w:w="0" w:type="dxa"/>
          <w:left w:w="99" w:type="dxa"/>
          <w:bottom w:w="0" w:type="dxa"/>
          <w:right w:w="99" w:type="dxa"/>
        </w:tblCellMar>
      </w:tblPr>
      <w:tblGrid>
        <w:gridCol w:w="2642"/>
      </w:tblGrid>
      <w:tr>
        <w:trPr>
          <w:trHeight w:val="493" w:hRule="atLeast"/>
          <w:cantSplit w:val="true"/>
        </w:trPr>
        <w:tc>
          <w:tcPr>
            <w:tcW w:w="264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HG丸ｺﾞｼｯｸM-PRO"/>
              </w:rPr>
            </w:pPr>
            <w:r>
              <w:rPr>
                <w:rFonts w:eastAsia="HG丸ｺﾞｼｯｸM-PRO"/>
                <w:kern w:val="0"/>
              </w:rPr>
              <w:t>給付金補助資料</w:t>
            </w:r>
            <w:r>
              <w:rPr>
                <w:rFonts w:cs="Century" w:eastAsia="Century"/>
                <w:kern w:val="0"/>
              </w:rPr>
              <w:t xml:space="preserve"> </w:t>
            </w:r>
            <w:r>
              <w:rPr>
                <w:rFonts w:eastAsia="HG丸ｺﾞｼｯｸM-PRO"/>
                <w:kern w:val="0"/>
              </w:rPr>
              <w:t>手順書</w:t>
            </w:r>
          </w:p>
        </w:tc>
      </w:tr>
    </w:tbl>
    <w:p>
      <w:pPr>
        <w:pStyle w:val="Normal"/>
        <w:rPr/>
      </w:pPr>
      <w:r>
        <w:rPr/>
      </w:r>
    </w:p>
    <w:tbl>
      <w:tblPr>
        <w:tblW w:w="10202" w:type="dxa"/>
        <w:jc w:val="left"/>
        <w:tblInd w:w="99" w:type="dxa"/>
        <w:tblLayout w:type="fixed"/>
        <w:tblCellMar>
          <w:top w:w="0" w:type="dxa"/>
          <w:left w:w="99" w:type="dxa"/>
          <w:bottom w:w="0" w:type="dxa"/>
          <w:right w:w="99" w:type="dxa"/>
        </w:tblCellMar>
      </w:tblPr>
      <w:tblGrid>
        <w:gridCol w:w="7550"/>
        <w:gridCol w:w="2652"/>
      </w:tblGrid>
      <w:tr>
        <w:trPr>
          <w:trHeight w:val="549" w:hRule="atLeast"/>
          <w:cantSplit w:val="true"/>
        </w:trPr>
        <w:tc>
          <w:tcPr>
            <w:tcW w:w="7550" w:type="dxa"/>
            <w:tcBorders>
              <w:top w:val="single" w:sz="4" w:space="0" w:color="000000"/>
              <w:left w:val="single" w:sz="4" w:space="0" w:color="000000"/>
              <w:bottom w:val="single" w:sz="4" w:space="0" w:color="000000"/>
              <w:right w:val="single" w:sz="4" w:space="0" w:color="000000"/>
            </w:tcBorders>
            <w:vAlign w:val="center"/>
          </w:tcPr>
          <w:p>
            <w:pPr>
              <w:pStyle w:val="Heading2"/>
              <w:ind w:hanging="0" w:left="0"/>
              <w:jc w:val="center"/>
              <w:rPr>
                <w:sz w:val="21"/>
              </w:rPr>
            </w:pPr>
            <w:r>
              <w:rPr>
                <w:color w:val="000000"/>
                <w:sz w:val="21"/>
              </w:rPr>
              <w:t>支払・不払件数の計上方法</w:t>
            </w:r>
          </w:p>
        </w:tc>
        <w:tc>
          <w:tcPr>
            <w:tcW w:w="265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cs="ＭＳ 明朝;MS Mincho"/>
              </w:rPr>
            </w:pPr>
            <w:r>
              <w:rPr>
                <w:rFonts w:ascii="ＭＳ 明朝;MS Mincho" w:hAnsi="ＭＳ 明朝;MS Mincho" w:cs="ＭＳ 明朝;MS Mincho"/>
              </w:rPr>
              <w:t>作成　</w:t>
            </w:r>
            <w:r>
              <w:rPr>
                <w:rFonts w:cs="ＭＳ 明朝;MS Mincho" w:ascii="ＭＳ 明朝;MS Mincho" w:hAnsi="ＭＳ 明朝;MS Mincho"/>
              </w:rPr>
              <w:t>2008.4</w:t>
            </w:r>
          </w:p>
          <w:p>
            <w:pPr>
              <w:pStyle w:val="Normal"/>
              <w:jc w:val="center"/>
              <w:rPr>
                <w:rFonts w:ascii="ＭＳ 明朝;MS Mincho" w:hAnsi="ＭＳ 明朝;MS Mincho" w:cs="ＭＳ 明朝;MS Mincho"/>
              </w:rPr>
            </w:pPr>
            <w:r>
              <w:rPr>
                <w:rFonts w:ascii="ＭＳ 明朝;MS Mincho" w:hAnsi="ＭＳ 明朝;MS Mincho" w:cs="ＭＳ 明朝;MS Mincho"/>
              </w:rPr>
              <w:t>改訂　</w:t>
            </w:r>
            <w:r>
              <w:rPr>
                <w:rFonts w:cs="ＭＳ 明朝;MS Mincho" w:ascii="ＭＳ 明朝;MS Mincho" w:hAnsi="ＭＳ 明朝;MS Mincho"/>
              </w:rPr>
              <w:t>2019.8</w:t>
            </w:r>
          </w:p>
        </w:tc>
      </w:tr>
    </w:tbl>
    <w:p>
      <w:pPr>
        <w:pStyle w:val="Normal"/>
        <w:autoSpaceDE w:val="false"/>
        <w:spacing w:lineRule="exact" w:line="212"/>
        <w:jc w:val="left"/>
        <w:rPr>
          <w:rFonts w:ascii=" ＭＳ 明朝;ＭＳ 明朝" w:hAnsi=" ＭＳ 明朝;ＭＳ 明朝" w:eastAsia=" ＭＳ 明朝;ＭＳ 明朝" w:cs=" Century;Century"/>
          <w:kern w:val="0"/>
          <w:sz w:val="18"/>
          <w:szCs w:val="18"/>
        </w:rPr>
      </w:pPr>
      <w:r>
        <w:rPr>
          <w:rFonts w:eastAsia=" ＭＳ 明朝;ＭＳ 明朝" w:cs=" Century;Century" w:ascii=" ＭＳ 明朝;ＭＳ 明朝" w:hAnsi=" ＭＳ 明朝;ＭＳ 明朝"/>
          <w:kern w:val="0"/>
          <w:sz w:val="18"/>
          <w:szCs w:val="18"/>
        </w:rPr>
      </w:r>
    </w:p>
    <w:p>
      <w:pPr>
        <w:pStyle w:val="Normal"/>
        <w:rPr/>
      </w:pPr>
      <w:r>
        <w:rPr>
          <w:rFonts w:ascii="ＭＳ 明朝;MS Mincho" w:hAnsi="ＭＳ 明朝;MS Mincho" w:cs="ＭＳ 明朝;MS Mincho"/>
        </w:rPr>
        <w:t>生命保険協会ガイドライン（以下、計上基準モデル）に基づき、</w:t>
      </w:r>
      <w:r>
        <w:rPr>
          <w:rFonts w:cs="ＭＳ 明朝;MS Mincho" w:ascii="ＭＳ 明朝;MS Mincho" w:hAnsi="ＭＳ 明朝;MS Mincho"/>
        </w:rPr>
        <w:t>2009</w:t>
      </w:r>
      <w:r>
        <w:rPr>
          <w:rFonts w:ascii="ＭＳ 明朝;MS Mincho" w:hAnsi="ＭＳ 明朝;MS Mincho" w:cs="ＭＳ 明朝;MS Mincho"/>
        </w:rPr>
        <w:t>年</w:t>
      </w:r>
      <w:r>
        <w:rPr>
          <w:rFonts w:cs="ＭＳ 明朝;MS Mincho" w:ascii="ＭＳ 明朝;MS Mincho" w:hAnsi="ＭＳ 明朝;MS Mincho"/>
        </w:rPr>
        <w:t>6</w:t>
      </w:r>
      <w:r>
        <w:rPr>
          <w:rFonts w:ascii="ＭＳ 明朝;MS Mincho" w:hAnsi="ＭＳ 明朝;MS Mincho" w:cs="ＭＳ 明朝;MS Mincho"/>
        </w:rPr>
        <w:t>月より、『保険金・給付金の支払・不払件数（以下、支払・不払件数）』を生命保険協会のポ－タルサイト上（ＨＰ上）で公表することとなった（当年</w:t>
      </w:r>
      <w:r>
        <w:rPr>
          <w:rFonts w:cs="ＭＳ 明朝;MS Mincho" w:ascii="ＭＳ 明朝;MS Mincho" w:hAnsi="ＭＳ 明朝;MS Mincho"/>
        </w:rPr>
        <w:t>6</w:t>
      </w:r>
      <w:r>
        <w:rPr>
          <w:rFonts w:ascii="ＭＳ 明朝;MS Mincho" w:hAnsi="ＭＳ 明朝;MS Mincho" w:cs="ＭＳ 明朝;MS Mincho"/>
        </w:rPr>
        <w:t>月に公表する件数は前年度の支払・不払件数）。</w:t>
      </w:r>
    </w:p>
    <w:p>
      <w:pPr>
        <w:pStyle w:val="Normal"/>
        <w:rPr>
          <w:rFonts w:ascii="ＭＳ ゴシック;MS Gothic" w:hAnsi="ＭＳ ゴシック;MS Gothic" w:cs="ＭＳ 明朝;MS Mincho"/>
        </w:rPr>
      </w:pPr>
      <w:r>
        <w:rPr>
          <w:rFonts w:ascii="ＭＳ 明朝;MS Mincho" w:hAnsi="ＭＳ 明朝;MS Mincho" w:cs="ＭＳ 明朝;MS Mincho"/>
        </w:rPr>
        <w:t>現行、計上基準モデルに則って「支払・不払件数」を計上しているが、</w:t>
      </w:r>
      <w:r>
        <w:rPr>
          <w:rFonts w:ascii="ＭＳ ゴシック;MS Gothic" w:hAnsi="ＭＳ ゴシック;MS Gothic" w:cs="ＭＳ 明朝;MS Mincho"/>
        </w:rPr>
        <w:t>給付金関係の計上については、「支払査定システム」導入により、以下のとおりの対応とする。</w:t>
      </w:r>
    </w:p>
    <w:p>
      <w:pPr>
        <w:pStyle w:val="Normal"/>
        <w:rPr>
          <w:rFonts w:ascii="ＭＳ 明朝;MS Mincho" w:hAnsi="ＭＳ 明朝;MS Mincho" w:cs="ＭＳ 明朝;MS Mincho"/>
        </w:rPr>
      </w:pPr>
      <w:r>
        <w:rPr>
          <w:rFonts w:ascii="ＭＳ ゴシック;MS Gothic" w:hAnsi="ＭＳ ゴシック;MS Gothic" w:cs="ＭＳ 明朝;MS Mincho"/>
        </w:rPr>
        <w:t>この対応により、支払管理ＤＢに不払理由がセットされるので、不払件数の計上については、計上対象外の不払理由のコードを除いて集計する。その際、「支払査定システム」では、全ての支払事由について支払・不払・対象外がセットされるため、不払計上が必要な案件については、同一申出番号の証券記号番号単位で集計する。</w:t>
      </w:r>
    </w:p>
    <w:p>
      <w:pPr>
        <w:pStyle w:val="Normal"/>
        <w:rPr/>
      </w:pPr>
      <w:r>
        <w:rPr/>
        <w:t>なお、保険金関係の計上については変更なしとする（計上基準モデルについては後述）。</w:t>
      </w:r>
    </w:p>
    <w:p>
      <w:pPr>
        <w:pStyle w:val="Normal"/>
        <w:rPr/>
      </w:pPr>
      <w:r>
        <w:rPr/>
      </w:r>
    </w:p>
    <w:p>
      <w:pPr>
        <w:pStyle w:val="Normal"/>
        <w:rPr/>
      </w:pPr>
      <w:r>
        <w:rPr/>
        <w:t>１．計上基準モデルのポイント</w:t>
      </w:r>
    </w:p>
    <w:p>
      <w:pPr>
        <w:pStyle w:val="Normal"/>
        <w:ind w:left="210" w:right="0"/>
        <w:rPr>
          <w:b/>
          <w:bCs/>
          <w:sz w:val="20"/>
        </w:rPr>
      </w:pPr>
      <w:r>
        <w:rPr>
          <w:b/>
          <w:bCs/>
          <w:sz w:val="20"/>
        </w:rPr>
        <w:t>【原則】</w:t>
      </w:r>
    </w:p>
    <w:p>
      <w:pPr>
        <w:pStyle w:val="Normal"/>
        <w:ind w:left="210" w:right="0"/>
        <w:rPr>
          <w:b/>
          <w:bCs/>
          <w:sz w:val="20"/>
        </w:rPr>
      </w:pPr>
      <w:r>
        <w:rPr>
          <w:b/>
          <w:bCs/>
          <w:sz w:val="20"/>
        </w:rPr>
        <w:t>（１）「支払・不払件数」は処理日で計上</w:t>
      </w:r>
    </w:p>
    <w:p>
      <w:pPr>
        <w:pStyle w:val="Normal"/>
        <w:ind w:hanging="524" w:left="734" w:right="0"/>
        <w:rPr>
          <w:b/>
          <w:bCs/>
          <w:sz w:val="20"/>
        </w:rPr>
      </w:pPr>
      <w:r>
        <w:rPr>
          <w:b/>
          <w:bCs/>
          <w:sz w:val="20"/>
        </w:rPr>
        <w:t>（２）計上する件数は、以下《報告様式》のとおり「死亡給付金」「入院給付金（成人病、女性医療、生活習慣病、がん、短期入院等はそれぞれ計上）」「手術給付金」「障害給付金」「その他（通院、特定損傷等）」に分け、更に不払については「詐欺無効」「告知義務違反解除」「支払事由非該当」等理由ごとに分けて計上</w:t>
      </w:r>
    </w:p>
    <w:p>
      <w:pPr>
        <w:pStyle w:val="Normal"/>
        <w:ind w:left="210" w:right="0"/>
        <w:rPr>
          <w:b/>
          <w:bCs/>
          <w:sz w:val="20"/>
        </w:rPr>
      </w:pPr>
      <w:r>
        <w:rPr>
          <w:b/>
          <w:bCs/>
          <w:sz w:val="20"/>
        </w:rPr>
        <w:t>【特則】</w:t>
      </w:r>
    </w:p>
    <w:p>
      <w:pPr>
        <w:pStyle w:val="Normal"/>
        <w:ind w:left="210" w:right="0"/>
        <w:rPr>
          <w:b/>
          <w:bCs/>
          <w:sz w:val="20"/>
        </w:rPr>
      </w:pPr>
      <w:r>
        <w:rPr>
          <w:b/>
          <w:bCs/>
          <w:sz w:val="20"/>
        </w:rPr>
        <w:t>（３）支払済や</w:t>
      </w:r>
      <w:r>
        <w:rPr>
          <w:b/>
          <w:bCs/>
          <w:sz w:val="20"/>
        </w:rPr>
        <w:t>120</w:t>
      </w:r>
      <w:r>
        <w:rPr>
          <w:b/>
          <w:bCs/>
          <w:sz w:val="20"/>
        </w:rPr>
        <w:t>日支払限度超、成人病対象外等の「支払事由（状態）非該当」は不払計上しない</w:t>
      </w:r>
    </w:p>
    <w:p>
      <w:pPr>
        <w:pStyle w:val="Normal"/>
        <w:ind w:left="840" w:right="0"/>
        <w:rPr>
          <w:b/>
          <w:bCs/>
          <w:sz w:val="20"/>
        </w:rPr>
      </w:pPr>
      <w:r>
        <w:rPr>
          <w:rFonts w:ascii="ＭＳ 明朝;MS Mincho" w:hAnsi="ＭＳ 明朝;MS Mincho" w:cs="ＭＳ 明朝;MS Mincho"/>
          <w:b/>
          <w:bCs/>
          <w:sz w:val="20"/>
        </w:rPr>
        <w:t>※</w:t>
      </w:r>
      <w:r>
        <w:rPr>
          <w:b/>
          <w:bCs/>
          <w:sz w:val="20"/>
        </w:rPr>
        <w:t>但し、解除、免責、不必要入院、責前等（以下、モラル事案）で不払となる場合は不払計上</w:t>
      </w:r>
    </w:p>
    <w:p>
      <w:pPr>
        <w:pStyle w:val="Normal"/>
        <w:ind w:hanging="628" w:left="838" w:right="0"/>
        <w:rPr>
          <w:b/>
          <w:bCs/>
          <w:sz w:val="20"/>
        </w:rPr>
      </w:pPr>
      <w:r>
        <w:rPr>
          <w:b/>
          <w:bCs/>
          <w:sz w:val="20"/>
        </w:rPr>
        <w:t>（４）一方、「手術欄」に記載された「手術該当項目なし（検査・処置等含む）」は全て不払計上（所見欄記載のものは「手術（医科のＫコード・Ｍコード、歯科のＪコード）」かつ「非該当」の場合のみ計上）</w:t>
      </w:r>
    </w:p>
    <w:p>
      <w:pPr>
        <w:pStyle w:val="Normal"/>
        <w:ind w:left="210" w:right="0"/>
        <w:rPr>
          <w:b/>
          <w:bCs/>
          <w:sz w:val="20"/>
        </w:rPr>
      </w:pPr>
      <w:r>
        <w:rPr>
          <w:b/>
          <w:bCs/>
          <w:sz w:val="20"/>
        </w:rPr>
        <w:t>（５）また、モラル事案で支払・不払が混在する場合（一部支払）は、支払・不払それぞれ計上</w:t>
      </w:r>
    </w:p>
    <w:p>
      <w:pPr>
        <w:pStyle w:val="Normal"/>
        <w:ind w:hanging="524" w:left="734" w:right="0"/>
        <w:rPr>
          <w:b/>
          <w:bCs/>
          <w:color w:val="000000"/>
          <w:sz w:val="20"/>
        </w:rPr>
      </w:pPr>
      <w:r>
        <w:rPr>
          <w:b/>
          <w:bCs/>
          <w:color w:val="000000"/>
          <w:sz w:val="20"/>
        </w:rPr>
        <w:t>（６）事前査定事案で不払となる場合は、請求書等の提出がなされなくとも不払計上</w:t>
      </w:r>
    </w:p>
    <w:p>
      <w:pPr>
        <w:pStyle w:val="Normal"/>
        <w:ind w:left="210" w:right="0"/>
        <w:rPr>
          <w:b/>
          <w:bCs/>
          <w:sz w:val="20"/>
        </w:rPr>
      </w:pPr>
      <w:r>
        <w:rPr>
          <w:b/>
          <w:bCs/>
          <w:sz w:val="20"/>
        </w:rPr>
        <w:t>（７）複数の不払事案がある場合は、「無効→解除→支払事由非該当→免責」の順で不払計上</w:t>
      </w:r>
    </w:p>
    <w:p>
      <w:pPr>
        <w:pStyle w:val="Normal"/>
        <w:ind w:left="210" w:right="0"/>
        <w:rPr>
          <w:b/>
          <w:bCs/>
          <w:sz w:val="20"/>
        </w:rPr>
      </w:pPr>
      <w:r>
        <w:rPr>
          <w:b/>
          <w:bCs/>
          <w:sz w:val="20"/>
        </w:rPr>
      </w:r>
    </w:p>
    <w:p>
      <w:pPr>
        <w:pStyle w:val="Normal"/>
        <w:ind w:left="210" w:right="0"/>
        <w:rPr/>
      </w:pPr>
      <w:r>
        <mc:AlternateContent>
          <mc:Choice Requires="wps">
            <w:drawing>
              <wp:anchor behindDoc="0" distT="0" distB="0" distL="114935" distR="114935" simplePos="0" locked="0" layoutInCell="1" allowOverlap="1" relativeHeight="8">
                <wp:simplePos x="0" y="0"/>
                <wp:positionH relativeFrom="column">
                  <wp:posOffset>3846830</wp:posOffset>
                </wp:positionH>
                <wp:positionV relativeFrom="paragraph">
                  <wp:posOffset>144145</wp:posOffset>
                </wp:positionV>
                <wp:extent cx="2487295" cy="1899285"/>
                <wp:effectExtent l="19685" t="19685" r="19050" b="19050"/>
                <wp:wrapNone/>
                <wp:docPr id="1" name=""/>
                <a:graphic xmlns:a="http://schemas.openxmlformats.org/drawingml/2006/main">
                  <a:graphicData uri="http://schemas.microsoft.com/office/word/2010/wordprocessingShape">
                    <wps:wsp>
                      <wps:cNvSpPr/>
                      <wps:spPr>
                        <a:xfrm>
                          <a:off x="0" y="0"/>
                          <a:ext cx="2487240" cy="1899360"/>
                        </a:xfrm>
                        <a:prstGeom prst="roundRect">
                          <a:avLst>
                            <a:gd name="adj" fmla="val 16667"/>
                          </a:avLst>
                        </a:prstGeom>
                        <a:noFill/>
                        <a:ln w="38160">
                          <a:solidFill>
                            <a:srgbClr val="ff0000"/>
                          </a:solidFill>
                          <a:miter/>
                        </a:ln>
                      </wps:spPr>
                      <wps:style>
                        <a:lnRef idx="0"/>
                        <a:fillRef idx="0"/>
                        <a:effectRef idx="0"/>
                        <a:fontRef idx="minor"/>
                      </wps:style>
                      <wps:bodyPr/>
                    </wps:wsp>
                  </a:graphicData>
                </a:graphic>
              </wp:anchor>
            </w:drawing>
          </mc:Choice>
          <mc:Fallback>
            <w:pict>
              <v:roundrect id="shape_0" stroked="t" o:allowincell="f" style="position:absolute;margin-left:302.9pt;margin-top:11.35pt;width:195.8pt;height:149.5pt;mso-wrap-style:none;v-text-anchor:middle">
                <v:fill o:detectmouseclick="t" on="false"/>
                <v:stroke color="red" weight="38160" joinstyle="miter" endcap="flat"/>
                <w10:wrap type="none"/>
              </v:roundrect>
            </w:pict>
          </mc:Fallback>
        </mc:AlternateContent>
      </w:r>
      <w:r>
        <w:rPr/>
        <w:t>《報告様式》</w:t>
      </w:r>
    </w:p>
    <w:p>
      <w:pPr>
        <w:pStyle w:val="Normal"/>
        <w:ind w:left="210" w:right="0"/>
        <w:rPr>
          <w:sz w:val="20"/>
          <w:lang w:val="ja-JP" w:eastAsia="ja-JP"/>
        </w:rPr>
      </w:pPr>
      <w:r>
        <w:rPr>
          <w:sz w:val="20"/>
          <w:lang w:val="ja-JP" w:eastAsia="ja-JP"/>
        </w:rPr>
        <w:drawing>
          <wp:anchor behindDoc="0" distT="0" distB="0" distL="114935" distR="114935" simplePos="0" locked="0" layoutInCell="1" allowOverlap="1" relativeHeight="7">
            <wp:simplePos x="0" y="0"/>
            <wp:positionH relativeFrom="column">
              <wp:posOffset>200025</wp:posOffset>
            </wp:positionH>
            <wp:positionV relativeFrom="paragraph">
              <wp:posOffset>1270</wp:posOffset>
            </wp:positionV>
            <wp:extent cx="6134100" cy="1740535"/>
            <wp:effectExtent l="0" t="0" r="0" b="0"/>
            <wp:wrapNone/>
            <wp:docPr id="2" name="画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画像1" descr=""/>
                    <pic:cNvPicPr>
                      <a:picLocks noChangeAspect="1" noChangeArrowheads="1"/>
                    </pic:cNvPicPr>
                  </pic:nvPicPr>
                  <pic:blipFill>
                    <a:blip r:embed="rId2"/>
                    <a:srcRect l="-3" t="-7" r="-3" b="-7"/>
                    <a:stretch>
                      <a:fillRect/>
                    </a:stretch>
                  </pic:blipFill>
                  <pic:spPr bwMode="auto">
                    <a:xfrm>
                      <a:off x="0" y="0"/>
                      <a:ext cx="6134100" cy="1740535"/>
                    </a:xfrm>
                    <a:prstGeom prst="rect">
                      <a:avLst/>
                    </a:prstGeom>
                    <a:noFill/>
                  </pic:spPr>
                </pic:pic>
              </a:graphicData>
            </a:graphic>
          </wp:anchor>
        </w:drawing>
      </w:r>
    </w:p>
    <w:p>
      <w:pPr>
        <w:pStyle w:val="Normal"/>
        <w:ind w:left="210" w:right="0"/>
        <w:rPr/>
      </w:pPr>
      <w:r>
        <w:rPr/>
      </w:r>
    </w:p>
    <w:p>
      <w:pPr>
        <w:pStyle w:val="Normal"/>
        <w:ind w:left="210" w:right="0"/>
        <w:rPr/>
      </w:pPr>
      <w:r>
        <w:rPr/>
      </w:r>
    </w:p>
    <w:p>
      <w:pPr>
        <w:pStyle w:val="Normal"/>
        <w:ind w:left="210" w:right="0"/>
        <w:rPr/>
      </w:pPr>
      <w:r>
        <w:rPr/>
      </w:r>
    </w:p>
    <w:p>
      <w:pPr>
        <w:pStyle w:val="Normal"/>
        <w:rPr/>
      </w:pPr>
      <w:r>
        <w:rPr/>
      </w:r>
    </w:p>
    <w:p>
      <w:pPr>
        <w:pStyle w:val="Normal"/>
        <w:rPr/>
      </w:pPr>
      <w:r>
        <w:rPr/>
      </w:r>
    </w:p>
    <w:p>
      <w:pPr>
        <w:pStyle w:val="Normal"/>
        <w:rPr/>
      </w:pPr>
      <w:r>
        <w:rPr/>
      </w:r>
    </w:p>
    <w:p>
      <w:pPr>
        <w:pStyle w:val="Normal"/>
        <w:rPr/>
      </w:pPr>
      <w:r>
        <w:rPr/>
        <w:t>２．計上基準モデルの詳細</w:t>
      </w:r>
    </w:p>
    <w:tbl>
      <w:tblPr>
        <w:tblW w:w="9969" w:type="dxa"/>
        <w:jc w:val="left"/>
        <w:tblInd w:w="210" w:type="dxa"/>
        <w:tblLayout w:type="fixed"/>
        <w:tblCellMar>
          <w:top w:w="0" w:type="dxa"/>
          <w:left w:w="99" w:type="dxa"/>
          <w:bottom w:w="0" w:type="dxa"/>
          <w:right w:w="99" w:type="dxa"/>
        </w:tblCellMar>
      </w:tblPr>
      <w:tblGrid>
        <w:gridCol w:w="729"/>
        <w:gridCol w:w="9240"/>
      </w:tblGrid>
      <w:tr>
        <w:trPr/>
        <w:tc>
          <w:tcPr>
            <w:tcW w:w="729" w:type="dxa"/>
            <w:tcBorders>
              <w:top w:val="single" w:sz="4" w:space="0" w:color="000000"/>
              <w:left w:val="single" w:sz="4" w:space="0" w:color="000000"/>
              <w:bottom w:val="single" w:sz="4" w:space="0" w:color="000000"/>
              <w:right w:val="single" w:sz="4" w:space="0" w:color="000000"/>
            </w:tcBorders>
          </w:tcPr>
          <w:p>
            <w:pPr>
              <w:pStyle w:val="Normal"/>
              <w:jc w:val="center"/>
              <w:rPr>
                <w:sz w:val="20"/>
              </w:rPr>
            </w:pPr>
            <w:r>
              <w:rPr>
                <w:sz w:val="20"/>
              </w:rPr>
              <w:t>項目</w:t>
            </w:r>
          </w:p>
        </w:tc>
        <w:tc>
          <w:tcPr>
            <w:tcW w:w="9240" w:type="dxa"/>
            <w:tcBorders>
              <w:top w:val="single" w:sz="4" w:space="0" w:color="000000"/>
              <w:left w:val="single" w:sz="4" w:space="0" w:color="000000"/>
              <w:bottom w:val="single" w:sz="4" w:space="0" w:color="000000"/>
              <w:right w:val="single" w:sz="4" w:space="0" w:color="000000"/>
            </w:tcBorders>
          </w:tcPr>
          <w:p>
            <w:pPr>
              <w:pStyle w:val="Normal"/>
              <w:jc w:val="center"/>
              <w:rPr>
                <w:sz w:val="20"/>
              </w:rPr>
            </w:pPr>
            <w:r>
              <w:rPr>
                <w:sz w:val="20"/>
              </w:rPr>
              <w:t>事例</w:t>
            </w:r>
          </w:p>
        </w:tc>
      </w:tr>
      <w:tr>
        <w:trPr/>
        <w:tc>
          <w:tcPr>
            <w:tcW w:w="729" w:type="dxa"/>
            <w:tcBorders>
              <w:top w:val="single" w:sz="4" w:space="0" w:color="000000"/>
              <w:left w:val="single" w:sz="4" w:space="0" w:color="000000"/>
              <w:bottom w:val="single" w:sz="4" w:space="0" w:color="000000"/>
              <w:right w:val="single" w:sz="4" w:space="0" w:color="000000"/>
            </w:tcBorders>
          </w:tcPr>
          <w:p>
            <w:pPr>
              <w:pStyle w:val="Normal"/>
              <w:jc w:val="center"/>
              <w:rPr>
                <w:sz w:val="20"/>
              </w:rPr>
            </w:pPr>
            <w:r>
              <w:rPr>
                <w:sz w:val="20"/>
              </w:rPr>
              <w:t>（１）</w:t>
            </w:r>
          </w:p>
        </w:tc>
        <w:tc>
          <w:tcPr>
            <w:tcW w:w="9240" w:type="dxa"/>
            <w:tcBorders>
              <w:top w:val="single" w:sz="4" w:space="0" w:color="000000"/>
              <w:left w:val="single" w:sz="4" w:space="0" w:color="000000"/>
              <w:bottom w:val="single" w:sz="4" w:space="0" w:color="000000"/>
              <w:right w:val="single" w:sz="4" w:space="0" w:color="000000"/>
            </w:tcBorders>
          </w:tcPr>
          <w:p>
            <w:pPr>
              <w:pStyle w:val="Normal"/>
              <w:ind w:hanging="212" w:left="216" w:right="0"/>
              <w:rPr>
                <w:sz w:val="20"/>
              </w:rPr>
            </w:pPr>
            <w:r>
              <w:rPr>
                <w:sz w:val="20"/>
              </w:rPr>
              <w:t>・１回の入院および２回の手術を支払とした場合、「入院給付金」支払１件、「手術給付金」支払１件を計上</w:t>
            </w:r>
          </w:p>
          <w:p>
            <w:pPr>
              <w:pStyle w:val="Normal"/>
              <w:ind w:hanging="212" w:left="216" w:right="0"/>
              <w:rPr>
                <w:sz w:val="20"/>
              </w:rPr>
            </w:pPr>
            <w:r>
              <w:rPr>
                <w:sz w:val="20"/>
              </w:rPr>
              <w:t>・（複数）診断書等に複数の入院の記載があり、通算して１回の入院として支払うか（同一入院）、２回の入院として支払うか（別入院）に関わらず、「入院給付金」支払１件を計上（付替の場合も同様）</w:t>
            </w:r>
          </w:p>
          <w:p>
            <w:pPr>
              <w:pStyle w:val="Normal"/>
              <w:ind w:hanging="212" w:left="216" w:right="0"/>
              <w:rPr>
                <w:sz w:val="20"/>
              </w:rPr>
            </w:pPr>
            <w:r>
              <w:rPr>
                <w:sz w:val="20"/>
              </w:rPr>
              <w:t>・「扁桃腺摘出術」による入院・手術に基づく請求があり、入院給付金を支払、手術給付金を不払とした場合、「入院給付金」支払１件、「手術給付金」不払１件を計上</w:t>
            </w:r>
          </w:p>
        </w:tc>
      </w:tr>
      <w:tr>
        <w:trPr/>
        <w:tc>
          <w:tcPr>
            <w:tcW w:w="729" w:type="dxa"/>
            <w:tcBorders>
              <w:top w:val="single" w:sz="4" w:space="0" w:color="000000"/>
              <w:left w:val="single" w:sz="4" w:space="0" w:color="000000"/>
              <w:bottom w:val="single" w:sz="4" w:space="0" w:color="000000"/>
              <w:right w:val="single" w:sz="4" w:space="0" w:color="000000"/>
            </w:tcBorders>
          </w:tcPr>
          <w:p>
            <w:pPr>
              <w:pStyle w:val="Normal"/>
              <w:jc w:val="center"/>
              <w:rPr>
                <w:sz w:val="20"/>
              </w:rPr>
            </w:pPr>
            <w:r>
              <w:rPr>
                <w:sz w:val="20"/>
              </w:rPr>
              <w:t>（２）</w:t>
            </w:r>
          </w:p>
        </w:tc>
        <w:tc>
          <w:tcPr>
            <w:tcW w:w="9240" w:type="dxa"/>
            <w:tcBorders>
              <w:top w:val="single" w:sz="4" w:space="0" w:color="000000"/>
              <w:left w:val="single" w:sz="4" w:space="0" w:color="000000"/>
              <w:bottom w:val="single" w:sz="4" w:space="0" w:color="000000"/>
              <w:right w:val="single" w:sz="4" w:space="0" w:color="000000"/>
            </w:tcBorders>
          </w:tcPr>
          <w:p>
            <w:pPr>
              <w:pStyle w:val="Normal"/>
              <w:ind w:hanging="212" w:left="216" w:right="0"/>
              <w:rPr>
                <w:sz w:val="20"/>
              </w:rPr>
            </w:pPr>
            <w:r>
              <w:rPr>
                <w:sz w:val="20"/>
              </w:rPr>
              <w:t>・入院給付金とがん入院給付金を支払った場合、「入院給付金」支払２件を計上</w:t>
            </w:r>
          </w:p>
          <w:p>
            <w:pPr>
              <w:pStyle w:val="Normal"/>
              <w:ind w:hanging="212" w:left="216" w:right="0"/>
              <w:rPr>
                <w:sz w:val="20"/>
              </w:rPr>
            </w:pPr>
            <w:r>
              <w:rPr>
                <w:sz w:val="20"/>
              </w:rPr>
              <w:t>・同様に、「入院給付金＋成人病入院給付金（女性医療、生活習慣病）＋がん入院給付金」を支払った場合、「入院給付金」支払３件を計上</w:t>
            </w:r>
          </w:p>
          <w:p>
            <w:pPr>
              <w:pStyle w:val="Normal"/>
              <w:ind w:hanging="212" w:left="216" w:right="0"/>
              <w:rPr>
                <w:sz w:val="20"/>
              </w:rPr>
            </w:pPr>
            <w:r>
              <w:rPr>
                <w:sz w:val="20"/>
              </w:rPr>
              <w:t>・入院給付金と短期入院（初期重点、入院初期等）を支払った場合、「入院給付金」支払２件を計上</w:t>
            </w:r>
          </w:p>
        </w:tc>
      </w:tr>
      <w:tr>
        <w:trPr/>
        <w:tc>
          <w:tcPr>
            <w:tcW w:w="729" w:type="dxa"/>
            <w:tcBorders>
              <w:top w:val="single" w:sz="4" w:space="0" w:color="000000"/>
              <w:left w:val="single" w:sz="4" w:space="0" w:color="000000"/>
              <w:bottom w:val="single" w:sz="4" w:space="0" w:color="000000"/>
              <w:right w:val="single" w:sz="4" w:space="0" w:color="000000"/>
            </w:tcBorders>
          </w:tcPr>
          <w:p>
            <w:pPr>
              <w:pStyle w:val="Normal"/>
              <w:rPr>
                <w:sz w:val="20"/>
              </w:rPr>
            </w:pPr>
            <w:r>
              <w:rPr>
                <w:sz w:val="20"/>
              </w:rPr>
              <w:t>（３）</w:t>
            </w:r>
          </w:p>
          <w:p>
            <w:pPr>
              <w:pStyle w:val="Normal"/>
              <w:rPr>
                <w:sz w:val="20"/>
              </w:rPr>
            </w:pPr>
            <w:r>
              <w:rPr>
                <w:sz w:val="20"/>
              </w:rPr>
            </w:r>
          </w:p>
          <w:p>
            <w:pPr>
              <w:pStyle w:val="Normal"/>
              <w:rPr>
                <w:sz w:val="20"/>
              </w:rPr>
            </w:pPr>
            <w:r>
              <w:rPr>
                <w:sz w:val="20"/>
              </w:rPr>
              <w:t>（４）</w:t>
            </w:r>
          </w:p>
        </w:tc>
        <w:tc>
          <w:tcPr>
            <w:tcW w:w="9240" w:type="dxa"/>
            <w:tcBorders>
              <w:top w:val="single" w:sz="4" w:space="0" w:color="000000"/>
              <w:left w:val="single" w:sz="4" w:space="0" w:color="000000"/>
              <w:bottom w:val="single" w:sz="4" w:space="0" w:color="000000"/>
              <w:right w:val="single" w:sz="4" w:space="0" w:color="000000"/>
            </w:tcBorders>
          </w:tcPr>
          <w:p>
            <w:pPr>
              <w:pStyle w:val="Normal"/>
              <w:ind w:hanging="2" w:left="6" w:right="0"/>
              <w:rPr>
                <w:sz w:val="20"/>
              </w:rPr>
            </w:pPr>
            <w:r>
              <w:rPr>
                <w:sz w:val="20"/>
              </w:rPr>
              <w:t>・支払事由に該当しないことが明白な場合、不払件数は計上しない</w:t>
            </w:r>
          </w:p>
          <w:p>
            <w:pPr>
              <w:pStyle w:val="Normal"/>
              <w:ind w:hanging="212" w:left="426" w:right="0"/>
              <w:rPr>
                <w:sz w:val="20"/>
              </w:rPr>
            </w:pPr>
            <w:r>
              <w:rPr>
                <w:rFonts w:ascii="ＭＳ 明朝;MS Mincho" w:hAnsi="ＭＳ 明朝;MS Mincho" w:cs="ＭＳ 明朝;MS Mincho"/>
                <w:sz w:val="20"/>
              </w:rPr>
              <w:t>⇒</w:t>
            </w:r>
            <w:r>
              <w:rPr>
                <w:sz w:val="20"/>
              </w:rPr>
              <w:t>支払済、日数未達、入院日数</w:t>
            </w:r>
            <w:r>
              <w:rPr>
                <w:sz w:val="20"/>
              </w:rPr>
              <w:t>120</w:t>
            </w:r>
            <w:r>
              <w:rPr>
                <w:sz w:val="20"/>
              </w:rPr>
              <w:t>日限度超、成人病等（女性医療、がん、生活習慣病、障害）対象外、部位不担保、請求特約付加なし（特約（契約）消滅後の入院等）は不払計上しない</w:t>
            </w:r>
          </w:p>
          <w:p>
            <w:pPr>
              <w:pStyle w:val="Normal"/>
              <w:ind w:hanging="212" w:left="426" w:right="0"/>
              <w:rPr>
                <w:sz w:val="20"/>
              </w:rPr>
            </w:pPr>
            <w:r>
              <w:rPr>
                <w:rFonts w:ascii="ＭＳ 明朝;MS Mincho" w:hAnsi="ＭＳ 明朝;MS Mincho" w:cs="ＭＳ 明朝;MS Mincho"/>
                <w:sz w:val="20"/>
              </w:rPr>
              <w:t>⇒</w:t>
            </w:r>
            <w:r>
              <w:rPr>
                <w:sz w:val="20"/>
              </w:rPr>
              <w:t>手術欄に記載された「手術」については、「扁桃腺摘出術」のように保険契約内容によって支払するべき手術（手術、手術サポ－ト、特定検査、全身麻酔のいずれも）がない場合、「手術給付金」不払（支払事由非該当）１件と計上</w:t>
            </w:r>
          </w:p>
          <w:p>
            <w:pPr>
              <w:pStyle w:val="Normal"/>
              <w:ind w:hanging="212" w:left="426" w:right="0"/>
              <w:rPr>
                <w:sz w:val="20"/>
              </w:rPr>
            </w:pPr>
            <w:r>
              <w:rPr>
                <w:rFonts w:ascii="ＭＳ 明朝;MS Mincho" w:hAnsi="ＭＳ 明朝;MS Mincho" w:cs="ＭＳ 明朝;MS Mincho"/>
                <w:sz w:val="20"/>
              </w:rPr>
              <w:t>⇒</w:t>
            </w:r>
            <w:r>
              <w:rPr>
                <w:sz w:val="20"/>
              </w:rPr>
              <w:t>所見欄記載「手術」については、「医科のＫコード・Ｍコード、歯科のＪコード」で不払となる場合のみ不払（支払事由非該当）として計上</w:t>
            </w:r>
          </w:p>
          <w:p>
            <w:pPr>
              <w:pStyle w:val="Normal"/>
              <w:ind w:hanging="418" w:left="424" w:right="0"/>
              <w:rPr>
                <w:sz w:val="20"/>
              </w:rPr>
            </w:pPr>
            <w:r>
              <w:rPr>
                <w:sz w:val="20"/>
              </w:rPr>
              <w:t>・「解除・免責・不必要入院・責前」等のいわゆるモラル事案で不払となる場合は不払計上</w:t>
            </w:r>
          </w:p>
          <w:p>
            <w:pPr>
              <w:pStyle w:val="Normal"/>
              <w:ind w:hanging="212" w:left="426" w:right="0"/>
              <w:rPr>
                <w:sz w:val="20"/>
              </w:rPr>
            </w:pPr>
            <w:r>
              <w:rPr>
                <w:rFonts w:ascii="ＭＳ 明朝;MS Mincho" w:hAnsi="ＭＳ 明朝;MS Mincho" w:cs="ＭＳ 明朝;MS Mincho"/>
                <w:sz w:val="20"/>
              </w:rPr>
              <w:t>⇒</w:t>
            </w:r>
            <w:r>
              <w:rPr>
                <w:sz w:val="20"/>
              </w:rPr>
              <w:t>「胃癌」による入院に基づく入院給付金請求（入院＋がん）があるも責前非該当とした場合、給付金不払（支払事由非該当）２件を計上</w:t>
            </w:r>
          </w:p>
          <w:p>
            <w:pPr>
              <w:pStyle w:val="Normal"/>
              <w:ind w:hanging="212" w:left="426" w:right="0"/>
              <w:rPr>
                <w:sz w:val="20"/>
              </w:rPr>
            </w:pPr>
            <w:r>
              <w:rPr>
                <w:rFonts w:ascii="ＭＳ 明朝;MS Mincho" w:hAnsi="ＭＳ 明朝;MS Mincho" w:cs="ＭＳ 明朝;MS Mincho"/>
                <w:sz w:val="20"/>
              </w:rPr>
              <w:t>⇒</w:t>
            </w:r>
            <w:r>
              <w:rPr>
                <w:sz w:val="20"/>
              </w:rPr>
              <w:t>「胃癌」による給付金請求があり、診断書上入院と手術の記載があったが、入院は支払済であったため、手術のみを支払とした場合、「手術給付金」支払１件を計上</w:t>
            </w:r>
          </w:p>
        </w:tc>
      </w:tr>
      <w:tr>
        <w:trPr/>
        <w:tc>
          <w:tcPr>
            <w:tcW w:w="729" w:type="dxa"/>
            <w:tcBorders>
              <w:top w:val="single" w:sz="4" w:space="0" w:color="000000"/>
              <w:left w:val="single" w:sz="4" w:space="0" w:color="000000"/>
              <w:bottom w:val="single" w:sz="4" w:space="0" w:color="000000"/>
              <w:right w:val="single" w:sz="4" w:space="0" w:color="000000"/>
            </w:tcBorders>
          </w:tcPr>
          <w:p>
            <w:pPr>
              <w:pStyle w:val="Normal"/>
              <w:rPr>
                <w:sz w:val="20"/>
              </w:rPr>
            </w:pPr>
            <w:r>
              <w:rPr>
                <w:sz w:val="20"/>
              </w:rPr>
              <w:t>（５）</w:t>
            </w:r>
          </w:p>
        </w:tc>
        <w:tc>
          <w:tcPr>
            <w:tcW w:w="9240" w:type="dxa"/>
            <w:tcBorders>
              <w:top w:val="single" w:sz="4" w:space="0" w:color="000000"/>
              <w:left w:val="single" w:sz="4" w:space="0" w:color="000000"/>
              <w:bottom w:val="single" w:sz="4" w:space="0" w:color="000000"/>
              <w:right w:val="single" w:sz="4" w:space="0" w:color="000000"/>
            </w:tcBorders>
          </w:tcPr>
          <w:p>
            <w:pPr>
              <w:pStyle w:val="Normal"/>
              <w:ind w:hanging="216" w:left="216" w:right="0"/>
              <w:rPr>
                <w:sz w:val="20"/>
              </w:rPr>
            </w:pPr>
            <w:r>
              <w:rPr>
                <w:sz w:val="20"/>
              </w:rPr>
              <w:t>・２回の入院に基づく給付金請求があり、１回目の入院を重過失免責により不払、２回目の入院を支払とした場合、「入院給付金」支払１件、「入院給付金」不払（免責事由非該当）１件を計上</w:t>
            </w:r>
          </w:p>
          <w:p>
            <w:pPr>
              <w:pStyle w:val="Normal"/>
              <w:ind w:hanging="216" w:left="216" w:right="0"/>
              <w:rPr>
                <w:sz w:val="20"/>
              </w:rPr>
            </w:pPr>
            <w:r>
              <w:rPr>
                <w:sz w:val="20"/>
              </w:rPr>
              <w:t>・２回の手術に基づく給付金請求があり、１回目の手術を支払、２回目の手術を非該当手術として不払とした場合、「手術給付金」不払（支払事由非該当）１件を計上</w:t>
            </w:r>
          </w:p>
          <w:p>
            <w:pPr>
              <w:pStyle w:val="Normal"/>
              <w:ind w:hanging="216" w:left="216" w:right="0"/>
              <w:rPr>
                <w:sz w:val="20"/>
              </w:rPr>
            </w:pPr>
            <w:r>
              <w:rPr>
                <w:sz w:val="20"/>
              </w:rPr>
              <w:t>・入院給付金請求における１回の入院について、不必要入院により一部の期間を削減して支払った場合、「入院給付金」支払１件、不払（支払事由非該当）１件を計上</w:t>
            </w:r>
          </w:p>
          <w:p>
            <w:pPr>
              <w:pStyle w:val="Normal"/>
              <w:ind w:hanging="216" w:left="216" w:right="0"/>
              <w:rPr>
                <w:sz w:val="20"/>
              </w:rPr>
            </w:pPr>
            <w:r>
              <w:rPr>
                <w:sz w:val="20"/>
              </w:rPr>
              <w:t>・転換後契約に入院日額</w:t>
            </w:r>
            <w:r>
              <w:rPr>
                <w:sz w:val="20"/>
              </w:rPr>
              <w:t>10,000</w:t>
            </w:r>
            <w:r>
              <w:rPr>
                <w:sz w:val="20"/>
              </w:rPr>
              <w:t>円の付加がある契約について、告反（因果関係有）または責前により、被転換契約の日額</w:t>
            </w:r>
            <w:r>
              <w:rPr>
                <w:sz w:val="20"/>
              </w:rPr>
              <w:t>5,000</w:t>
            </w:r>
            <w:r>
              <w:rPr>
                <w:sz w:val="20"/>
              </w:rPr>
              <w:t>円のみ既得権を認め支払とし、増額部分の</w:t>
            </w:r>
            <w:r>
              <w:rPr>
                <w:sz w:val="20"/>
              </w:rPr>
              <w:t>5,000</w:t>
            </w:r>
            <w:r>
              <w:rPr>
                <w:sz w:val="20"/>
              </w:rPr>
              <w:t>円については不払とした場合、「入院給付金」支払１件、不払（告反または支払事由非該当）１件を計上</w:t>
            </w:r>
          </w:p>
        </w:tc>
      </w:tr>
      <w:tr>
        <w:trPr/>
        <w:tc>
          <w:tcPr>
            <w:tcW w:w="729" w:type="dxa"/>
            <w:tcBorders>
              <w:top w:val="single" w:sz="4" w:space="0" w:color="000000"/>
              <w:left w:val="single" w:sz="4" w:space="0" w:color="000000"/>
              <w:bottom w:val="single" w:sz="4" w:space="0" w:color="000000"/>
              <w:right w:val="single" w:sz="4" w:space="0" w:color="000000"/>
            </w:tcBorders>
          </w:tcPr>
          <w:p>
            <w:pPr>
              <w:pStyle w:val="Normal"/>
              <w:rPr>
                <w:sz w:val="20"/>
              </w:rPr>
            </w:pPr>
            <w:r>
              <w:rPr>
                <w:sz w:val="20"/>
              </w:rPr>
              <w:t>（６）</w:t>
            </w:r>
          </w:p>
        </w:tc>
        <w:tc>
          <w:tcPr>
            <w:tcW w:w="9240" w:type="dxa"/>
            <w:tcBorders>
              <w:top w:val="single" w:sz="4" w:space="0" w:color="000000"/>
              <w:left w:val="single" w:sz="4" w:space="0" w:color="000000"/>
              <w:bottom w:val="single" w:sz="4" w:space="0" w:color="000000"/>
              <w:right w:val="single" w:sz="4" w:space="0" w:color="000000"/>
            </w:tcBorders>
          </w:tcPr>
          <w:p>
            <w:pPr>
              <w:pStyle w:val="Normal"/>
              <w:rPr>
                <w:sz w:val="20"/>
              </w:rPr>
            </w:pPr>
            <w:r>
              <w:rPr>
                <w:sz w:val="20"/>
              </w:rPr>
              <w:t>・障害給付金の事前申請（診断書のみ）で状態非該当により不払となる場合、不払計上</w:t>
            </w:r>
          </w:p>
        </w:tc>
      </w:tr>
      <w:tr>
        <w:trPr/>
        <w:tc>
          <w:tcPr>
            <w:tcW w:w="729" w:type="dxa"/>
            <w:tcBorders>
              <w:top w:val="single" w:sz="4" w:space="0" w:color="000000"/>
              <w:left w:val="single" w:sz="4" w:space="0" w:color="000000"/>
              <w:bottom w:val="single" w:sz="4" w:space="0" w:color="000000"/>
              <w:right w:val="single" w:sz="4" w:space="0" w:color="000000"/>
            </w:tcBorders>
          </w:tcPr>
          <w:p>
            <w:pPr>
              <w:pStyle w:val="Normal"/>
              <w:rPr>
                <w:sz w:val="20"/>
              </w:rPr>
            </w:pPr>
            <w:r>
              <w:rPr>
                <w:sz w:val="20"/>
              </w:rPr>
              <w:t>（７）</w:t>
            </w:r>
          </w:p>
        </w:tc>
        <w:tc>
          <w:tcPr>
            <w:tcW w:w="9240" w:type="dxa"/>
            <w:tcBorders>
              <w:top w:val="single" w:sz="4" w:space="0" w:color="000000"/>
              <w:left w:val="single" w:sz="4" w:space="0" w:color="000000"/>
              <w:bottom w:val="single" w:sz="4" w:space="0" w:color="000000"/>
              <w:right w:val="single" w:sz="4" w:space="0" w:color="000000"/>
            </w:tcBorders>
          </w:tcPr>
          <w:p>
            <w:pPr>
              <w:pStyle w:val="Normal"/>
              <w:ind w:hanging="216" w:left="216" w:right="0"/>
              <w:rPr>
                <w:sz w:val="20"/>
              </w:rPr>
            </w:pPr>
            <w:r>
              <w:rPr>
                <w:sz w:val="20"/>
              </w:rPr>
              <w:t>・給付金請求について、重大事由と免責のいずれにも当たる故意の事故招致が判明し、解除を行って入院給付金を不払とした場合、「入院給付金」不払（重大事由解除）１件を計上</w:t>
            </w:r>
          </w:p>
          <w:p>
            <w:pPr>
              <w:pStyle w:val="Normal"/>
              <w:ind w:hanging="216" w:left="216" w:right="0"/>
              <w:rPr>
                <w:sz w:val="20"/>
              </w:rPr>
            </w:pPr>
            <w:r>
              <w:rPr>
                <w:sz w:val="20"/>
              </w:rPr>
              <w:t>・同様に、告反（因果関係有）と責前非該当が競合し、解除を行って入院給付金を不払とした場合、「入院給付金」不払（告反）１件を計上</w:t>
            </w:r>
          </w:p>
        </w:tc>
      </w:tr>
    </w:tbl>
    <w:p>
      <w:pPr>
        <w:pStyle w:val="Normal"/>
        <w:ind w:left="210" w:right="0"/>
        <w:rPr/>
      </w:pPr>
      <w:r>
        <w:rPr>
          <w:sz w:val="20"/>
        </w:rPr>
        <w:t>３．対応手順</w:t>
      </w:r>
    </w:p>
    <w:p>
      <w:pPr>
        <w:pStyle w:val="Normal"/>
        <w:ind w:left="210" w:right="0"/>
        <w:rPr>
          <w:sz w:val="20"/>
        </w:rPr>
      </w:pPr>
      <w:r>
        <w:rPr>
          <w:sz w:val="20"/>
        </w:rPr>
        <w:t>（１）給付金支払査定係の手順</w:t>
      </w:r>
    </w:p>
    <w:p>
      <w:pPr>
        <w:pStyle w:val="Normal"/>
        <w:ind w:left="735" w:right="0"/>
        <w:rPr/>
      </w:pPr>
      <w:r>
        <w:rPr>
          <w:sz w:val="20"/>
        </w:rPr>
        <w:t>査定に際し、給付金支払査定係の査定者は、以下の対応を行うこととし、決裁権限者がその内容を決裁する。</w:t>
      </w:r>
    </w:p>
    <w:p>
      <w:pPr>
        <w:pStyle w:val="Normal"/>
        <w:ind w:left="420" w:right="0"/>
        <w:rPr>
          <w:sz w:val="20"/>
        </w:rPr>
      </w:pPr>
      <w:r>
        <w:rPr>
          <w:rFonts w:ascii="ＭＳ 明朝;MS Mincho" w:hAnsi="ＭＳ 明朝;MS Mincho" w:cs="ＭＳ 明朝;MS Mincho"/>
          <w:sz w:val="20"/>
        </w:rPr>
        <w:t>①</w:t>
      </w:r>
      <w:r>
        <w:rPr>
          <w:sz w:val="20"/>
        </w:rPr>
        <w:t>イメージワークフロー（以下、ＩＷＦという）で回送される案件</w:t>
      </w:r>
    </w:p>
    <w:p>
      <w:pPr>
        <w:pStyle w:val="Normal"/>
        <w:ind w:left="630" w:right="0"/>
        <w:rPr/>
      </w:pPr>
      <w:r>
        <w:rPr>
          <w:sz w:val="20"/>
        </w:rPr>
        <w:t>（ⅰ）</w:t>
      </w:r>
      <w:r>
        <w:rPr>
          <w:sz w:val="20"/>
        </w:rPr>
        <w:t>IWF</w:t>
      </w:r>
      <w:r>
        <w:rPr>
          <w:sz w:val="20"/>
        </w:rPr>
        <w:t>で</w:t>
      </w:r>
      <w:r>
        <w:rPr>
          <w:sz w:val="20"/>
        </w:rPr>
        <w:t>請求入力できる事案の不払「手術」の計上</w:t>
      </w:r>
    </w:p>
    <w:p>
      <w:pPr>
        <w:pStyle w:val="Normal"/>
        <w:ind w:left="838" w:right="0"/>
        <w:rPr/>
      </w:pPr>
      <w:r>
        <w:rPr>
          <w:sz w:val="20"/>
        </w:rPr>
        <w:t>査定者は、手術査定画面において、</w:t>
      </w:r>
    </w:p>
    <w:p>
      <w:pPr>
        <w:pStyle w:val="Normal"/>
        <w:numPr>
          <w:ilvl w:val="0"/>
          <w:numId w:val="2"/>
        </w:numPr>
        <w:rPr>
          <w:sz w:val="20"/>
        </w:rPr>
      </w:pPr>
      <w:r>
        <w:rPr>
          <w:sz w:val="20"/>
        </w:rPr>
        <w:t>手術欄に記載されたもの（医科のＫコード・Ｍコード、歯科のＪコードであるか否か関わらず、手術欄に記載されたもの全て）に関して支払・不払・対象外を判定し、不払とした手術については不払理由のプルダウンリストよりその理由を選択する。</w:t>
      </w:r>
    </w:p>
    <w:p>
      <w:pPr>
        <w:pStyle w:val="Normal"/>
        <w:numPr>
          <w:ilvl w:val="0"/>
          <w:numId w:val="2"/>
        </w:numPr>
        <w:rPr>
          <w:sz w:val="20"/>
        </w:rPr>
      </w:pPr>
      <w:r>
        <w:rPr>
          <w:sz w:val="20"/>
        </w:rPr>
        <w:t>所見欄に記載されたものは「医科のＫコード・Ｍコード、歯科のＪコード」に該当する手術名のみを対象として支払・不払・対象外を判定し、不払とした手術については不払理由のプルダウンリストよりその理由を選択する。</w:t>
      </w:r>
    </w:p>
    <w:p>
      <w:pPr>
        <w:pStyle w:val="Normal"/>
        <w:ind w:hanging="744" w:left="1584" w:right="0"/>
        <w:rPr>
          <w:sz w:val="20"/>
        </w:rPr>
      </w:pPr>
      <w:r>
        <w:rPr>
          <w:sz w:val="20"/>
        </w:rPr>
      </w:r>
    </w:p>
    <w:p>
      <w:pPr>
        <w:pStyle w:val="Normal"/>
        <w:ind w:left="210" w:right="0"/>
        <w:rPr/>
      </w:pPr>
      <w:r>
        <w:rPr>
          <w:sz w:val="20"/>
        </w:rPr>
        <w:t>《表１</w:t>
      </w:r>
      <w:r>
        <w:rPr>
          <w:rFonts w:cs="Century" w:eastAsia="Century"/>
          <w:sz w:val="20"/>
        </w:rPr>
        <w:t xml:space="preserve"> </w:t>
      </w:r>
      <w:r>
        <w:rPr>
          <w:sz w:val="20"/>
        </w:rPr>
        <w:t>ＩＷＦにおける手術査定画面》</w:t>
      </w:r>
    </w:p>
    <w:p>
      <w:pPr>
        <w:pStyle w:val="Normal"/>
        <w:ind w:left="210" w:right="0"/>
        <w:rPr>
          <w:sz w:val="20"/>
          <w:lang w:val="ja-JP" w:eastAsia="ja-JP"/>
        </w:rPr>
      </w:pPr>
      <w:r>
        <w:rPr>
          <w:sz w:val="20"/>
          <w:lang w:val="ja-JP" w:eastAsia="ja-JP"/>
        </w:rPr>
        <w:drawing>
          <wp:anchor behindDoc="0" distT="0" distB="0" distL="114935" distR="114935" simplePos="0" locked="0" layoutInCell="1" allowOverlap="1" relativeHeight="27">
            <wp:simplePos x="0" y="0"/>
            <wp:positionH relativeFrom="column">
              <wp:posOffset>400050</wp:posOffset>
            </wp:positionH>
            <wp:positionV relativeFrom="paragraph">
              <wp:posOffset>114300</wp:posOffset>
            </wp:positionV>
            <wp:extent cx="6177280" cy="3267075"/>
            <wp:effectExtent l="0" t="0" r="0" b="0"/>
            <wp:wrapNone/>
            <wp:docPr id="3" name="画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画像2" descr=""/>
                    <pic:cNvPicPr>
                      <a:picLocks noChangeAspect="1" noChangeArrowheads="1"/>
                    </pic:cNvPicPr>
                  </pic:nvPicPr>
                  <pic:blipFill>
                    <a:blip r:embed="rId3"/>
                    <a:srcRect l="-5" t="-6" r="-5" b="-6"/>
                    <a:stretch>
                      <a:fillRect/>
                    </a:stretch>
                  </pic:blipFill>
                  <pic:spPr bwMode="auto">
                    <a:xfrm>
                      <a:off x="0" y="0"/>
                      <a:ext cx="6177280" cy="3267075"/>
                    </a:xfrm>
                    <a:prstGeom prst="rect">
                      <a:avLst/>
                    </a:prstGeom>
                    <a:noFill/>
                  </pic:spPr>
                </pic:pic>
              </a:graphicData>
            </a:graphic>
          </wp:anchor>
        </w:drawing>
      </w:r>
    </w:p>
    <w:p>
      <w:pPr>
        <w:pStyle w:val="Normal"/>
        <w:ind w:left="210" w:right="0"/>
        <w:rPr/>
      </w:pPr>
      <w:r>
        <w:rPr/>
      </w:r>
    </w:p>
    <w:p>
      <w:pPr>
        <w:pStyle w:val="Normal"/>
        <w:ind w:left="210" w:right="0"/>
        <w:rPr/>
      </w:pPr>
      <w:r>
        <w:rPr/>
      </w:r>
    </w:p>
    <w:p>
      <w:pPr>
        <w:pStyle w:val="Normal"/>
        <w:ind w:left="210" w:right="0"/>
        <w:rPr/>
      </w:pPr>
      <w:r>
        <w:rPr/>
      </w:r>
    </w:p>
    <w:p>
      <w:pPr>
        <w:pStyle w:val="Normal"/>
        <w:ind w:left="210" w:right="0"/>
        <w:rPr>
          <w:lang w:val="ja-JP" w:eastAsia="ja-JP"/>
        </w:rPr>
      </w:pPr>
      <w:r>
        <w:rPr>
          <w:lang w:val="ja-JP" w:eastAsia="ja-JP"/>
        </w:rPr>
        <mc:AlternateContent>
          <mc:Choice Requires="wps">
            <w:drawing>
              <wp:anchor behindDoc="0" distT="0" distB="0" distL="114935" distR="114935" simplePos="0" locked="0" layoutInCell="1" allowOverlap="1" relativeHeight="26">
                <wp:simplePos x="0" y="0"/>
                <wp:positionH relativeFrom="column">
                  <wp:posOffset>4666615</wp:posOffset>
                </wp:positionH>
                <wp:positionV relativeFrom="paragraph">
                  <wp:posOffset>62230</wp:posOffset>
                </wp:positionV>
                <wp:extent cx="1910715" cy="633730"/>
                <wp:effectExtent l="5715" t="5080" r="71755" b="154940"/>
                <wp:wrapNone/>
                <wp:docPr id="4" name=""/>
                <a:graphic xmlns:a="http://schemas.openxmlformats.org/drawingml/2006/main">
                  <a:graphicData uri="http://schemas.microsoft.com/office/word/2010/wordprocessingShape">
                    <wps:wsp>
                      <wps:cNvSpPr/>
                      <wps:spPr>
                        <a:xfrm>
                          <a:off x="0" y="0"/>
                          <a:ext cx="1910880" cy="633600"/>
                        </a:xfrm>
                        <a:prstGeom prst="wedgeRoundRectCallout">
                          <a:avLst>
                            <a:gd name="adj1" fmla="val 7259"/>
                            <a:gd name="adj2" fmla="val 73245"/>
                            <a:gd name="adj3" fmla="val 16667"/>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kern w:val="2"/>
                                <w:sz w:val="16"/>
                                <w:szCs w:val="24"/>
                                <w:b/>
                                <w:bCs/>
                                <w:rFonts w:ascii="Century" w:hAnsi="Century" w:eastAsia="ＭＳ 明朝;MS Mincho" w:cs="Times New Roman"/>
                                <w:color w:val="FF0000"/>
                                <w:lang w:val="en-US" w:eastAsia="ja-JP" w:bidi="ar-SA"/>
                              </w:rPr>
                              <w:t>不払『手術』がある場合、『手術非』に『１』を</w:t>
                            </w:r>
                            <w:r>
                              <w:rPr>
                                <w:kern w:val="2"/>
                                <w:szCs w:val="24"/>
                                <w:b/>
                                <w:bCs/>
                                <w:sz w:val="20"/>
                                <w:rFonts w:ascii="Century" w:hAnsi="Century" w:eastAsia="ＭＳ 明朝;MS Mincho" w:cs="Times New Roman"/>
                                <w:color w:val="FF0000"/>
                                <w:lang w:val="en-US" w:eastAsia="ja-JP" w:bidi="ar-SA"/>
                              </w:rPr>
                              <w:t>入力する</w:t>
                            </w:r>
                          </w:p>
                        </w:txbxContent>
                      </wps:txbx>
                      <wps:bodyPr anchor="t">
                        <a:noAutofit/>
                      </wps:bodyPr>
                    </wps:wsp>
                  </a:graphicData>
                </a:graphic>
              </wp:anchor>
            </w:drawing>
          </mc:Choice>
          <mc:Fallback>
            <w:pict>
              <v:shapetype id="_x0000_t17" coordsize="21600,21600" o:spt="17" adj="3600,13500,-4500" path="m0@31qy@37@38l@9,l@18@26l@10,l@32,qx@39@37l21600@13l@20@28l21600@14l21600@33qy@40@41l@10,21600l@22@30l@9,21600l@31,21600qx@38@40l0@14l@16@24l0@13xe">
                <v:stroke joinstyle="miter"/>
                <v:formulas>
                  <v:f eqn="val #2"/>
                  <v:f eqn="val #1"/>
                  <v:f eqn="sum 10800 @0 0"/>
                  <v:f eqn="sum 10800 @1 0"/>
                  <v:f eqn="abs @1"/>
                  <v:f eqn="abs @0"/>
                  <v:f eqn="sum @4 0 @5"/>
                  <v:f eqn="if @0 7 2"/>
                  <v:f eqn="if @0 10 5"/>
                  <v:f eqn="prod 5400 @7 3"/>
                  <v:f eqn="prod 5400 @8 3"/>
                  <v:f eqn="if @1 7 2"/>
                  <v:f eqn="if @1 10 5"/>
                  <v:f eqn="prod 5400 @11 3"/>
                  <v:f eqn="prod 5400 @12 3"/>
                  <v:f eqn="if @0 0 @2"/>
                  <v:f eqn="if @6 0 @15"/>
                  <v:f eqn="if @1 @9 @2"/>
                  <v:f eqn="if @6 @17 @9"/>
                  <v:f eqn="if @0 @2 width"/>
                  <v:f eqn="if @6 width @19"/>
                  <v:f eqn="if @1 @2 @9"/>
                  <v:f eqn="if @6 @21 @9"/>
                  <v:f eqn="if @0 @13 @3"/>
                  <v:f eqn="if @6 @13 @23"/>
                  <v:f eqn="if @1 0 @3"/>
                  <v:f eqn="if @6 @25 0"/>
                  <v:f eqn="if @0 @3 @13"/>
                  <v:f eqn="if @6 @13 @27"/>
                  <v:f eqn="if @1 @3 height"/>
                  <v:f eqn="if @6 @29 height"/>
                  <v:f eqn="val #0"/>
                  <v:f eqn="sum width 0 @31"/>
                  <v:f eqn="sum height 0 @31"/>
                  <v:f eqn="prod @31 2929 10000"/>
                  <v:f eqn="sum width 0 @34"/>
                  <v:f eqn="sum height 0 @34"/>
                  <v:f eqn="sum @31 0 0"/>
                  <v:f eqn="sum 0 @31 @31"/>
                  <v:f eqn="sum @31 @32 0"/>
                  <v:f eqn="sum 0 21600 @31"/>
                  <v:f eqn="sum @31 @33 0"/>
                </v:formulas>
                <v:path gradientshapeok="t" o:connecttype="rect" textboxrect="@34,@34,@35,@36"/>
                <v:handles>
                  <v:h position="@2,@3"/>
                </v:handles>
              </v:shapetype>
              <v:shape id="shape_0" fillcolor="white" stroked="t" o:allowincell="f" style="position:absolute;margin-left:367.45pt;margin-top:4.9pt;width:150.4pt;height:49.85pt;mso-wrap-style:square;v-text-anchor:top" type="_x0000_t17">
                <v:textbox>
                  <w:txbxContent>
                    <w:p>
                      <w:pPr>
                        <w:overflowPunct w:val="false"/>
                        <w:bidi w:val="0"/>
                        <w:jc w:val="both"/>
                        <w:rPr/>
                      </w:pPr>
                      <w:r>
                        <w:rPr>
                          <w:kern w:val="2"/>
                          <w:sz w:val="16"/>
                          <w:szCs w:val="24"/>
                          <w:b/>
                          <w:bCs/>
                          <w:rFonts w:ascii="Century" w:hAnsi="Century" w:eastAsia="ＭＳ 明朝;MS Mincho" w:cs="Times New Roman"/>
                          <w:color w:val="FF0000"/>
                          <w:lang w:val="en-US" w:eastAsia="ja-JP" w:bidi="ar-SA"/>
                        </w:rPr>
                        <w:t>不払『手術』がある場合、『手術非』に『１』を</w:t>
                      </w:r>
                      <w:r>
                        <w:rPr>
                          <w:kern w:val="2"/>
                          <w:szCs w:val="24"/>
                          <w:b/>
                          <w:bCs/>
                          <w:sz w:val="20"/>
                          <w:rFonts w:ascii="Century" w:hAnsi="Century" w:eastAsia="ＭＳ 明朝;MS Mincho" w:cs="Times New Roman"/>
                          <w:color w:val="FF0000"/>
                          <w:lang w:val="en-US" w:eastAsia="ja-JP" w:bidi="ar-SA"/>
                        </w:rPr>
                        <w:t>入力する</w:t>
                      </w:r>
                    </w:p>
                  </w:txbxContent>
                </v:textbox>
                <v:fill o:detectmouseclick="t" type="solid" color2="black"/>
                <v:stroke color="black" weight="9360" joinstyle="miter" endcap="flat"/>
                <w10:wrap type="none"/>
              </v:shape>
            </w:pict>
          </mc:Fallback>
        </mc:AlternateContent>
      </w:r>
    </w:p>
    <w:p>
      <w:pPr>
        <w:pStyle w:val="Normal"/>
        <w:ind w:left="210" w:right="0"/>
        <w:rPr/>
      </w:pPr>
      <w:r>
        <w:rPr/>
      </w:r>
    </w:p>
    <w:p>
      <w:pPr>
        <w:pStyle w:val="Normal"/>
        <w:ind w:left="210" w:right="0"/>
        <w:rPr/>
      </w:pPr>
      <w:r>
        <w:rPr/>
      </w:r>
    </w:p>
    <w:p>
      <w:pPr>
        <w:pStyle w:val="Normal"/>
        <w:ind w:left="210" w:right="0"/>
        <w:rPr>
          <w:lang w:val="ja-JP" w:eastAsia="ja-JP"/>
        </w:rPr>
      </w:pPr>
      <w:r>
        <w:rPr>
          <w:lang w:val="ja-JP" w:eastAsia="ja-JP"/>
        </w:rPr>
        <mc:AlternateContent>
          <mc:Choice Requires="wps">
            <w:drawing>
              <wp:anchor behindDoc="0" distT="0" distB="0" distL="114935" distR="114935" simplePos="0" locked="0" layoutInCell="1" allowOverlap="1" relativeHeight="25">
                <wp:simplePos x="0" y="0"/>
                <wp:positionH relativeFrom="column">
                  <wp:posOffset>5774690</wp:posOffset>
                </wp:positionH>
                <wp:positionV relativeFrom="paragraph">
                  <wp:posOffset>100330</wp:posOffset>
                </wp:positionV>
                <wp:extent cx="635" cy="1083945"/>
                <wp:effectExtent l="47625" t="635" r="47625" b="0"/>
                <wp:wrapNone/>
                <wp:docPr id="5" name=""/>
                <a:graphic xmlns:a="http://schemas.openxmlformats.org/drawingml/2006/main">
                  <a:graphicData uri="http://schemas.microsoft.com/office/word/2010/wordprocessingShape">
                    <wps:wsp>
                      <wps:cNvSpPr/>
                      <wps:spPr>
                        <a:xfrm>
                          <a:off x="0" y="0"/>
                          <a:ext cx="720" cy="1083960"/>
                        </a:xfrm>
                        <a:prstGeom prst="line">
                          <a:avLst/>
                        </a:prstGeom>
                        <a:ln w="31680">
                          <a:solidFill>
                            <a:srgbClr val="ff0000"/>
                          </a:solidFill>
                          <a:miter/>
                          <a:tailEnd len="med" type="triangle" w="med"/>
                        </a:ln>
                      </wps:spPr>
                      <wps:style>
                        <a:lnRef idx="0"/>
                        <a:fillRef idx="0"/>
                        <a:effectRef idx="0"/>
                        <a:fontRef idx="minor"/>
                      </wps:style>
                      <wps:bodyPr/>
                    </wps:wsp>
                  </a:graphicData>
                </a:graphic>
              </wp:anchor>
            </w:drawing>
          </mc:Choice>
          <mc:Fallback>
            <w:pict>
              <v:line id="shape_0" from="454.7pt,7.9pt" to="454.7pt,93.2pt" stroked="t" o:allowincell="f" style="position:absolute">
                <v:stroke color="red" weight="31680" endarrow="block" endarrowwidth="medium" endarrowlength="medium" joinstyle="miter" endcap="flat"/>
                <v:fill o:detectmouseclick="t" on="false"/>
                <w10:wrap type="none"/>
              </v:line>
            </w:pict>
          </mc:Fallback>
        </mc:AlternateContent>
      </w:r>
    </w:p>
    <w:p>
      <w:pPr>
        <w:pStyle w:val="Normal"/>
        <w:ind w:left="210" w:right="0"/>
        <w:rPr/>
      </w:pPr>
      <w:r>
        <w:rPr/>
      </w:r>
    </w:p>
    <w:p>
      <w:pPr>
        <w:pStyle w:val="Normal"/>
        <w:ind w:left="210" w:right="0"/>
        <w:rPr/>
      </w:pPr>
      <w:r>
        <w:rPr/>
      </w:r>
    </w:p>
    <w:p>
      <w:pPr>
        <w:pStyle w:val="Normal"/>
        <w:ind w:left="210" w:right="0"/>
        <w:rPr/>
      </w:pPr>
      <w:r>
        <w:rPr/>
      </w:r>
    </w:p>
    <w:p>
      <w:pPr>
        <w:pStyle w:val="Normal"/>
        <w:ind w:left="210" w:right="0"/>
        <w:rPr/>
      </w:pPr>
      <w:r>
        <w:rPr/>
      </w:r>
    </w:p>
    <w:p>
      <w:pPr>
        <w:pStyle w:val="Normal"/>
        <w:ind w:left="210" w:right="0"/>
        <w:rPr/>
      </w:pPr>
      <w:r>
        <w:rPr/>
      </w:r>
    </w:p>
    <w:p>
      <w:pPr>
        <w:pStyle w:val="Normal"/>
        <w:ind w:left="210" w:right="0"/>
        <w:rPr/>
      </w:pPr>
      <w:r>
        <w:rPr/>
      </w:r>
    </w:p>
    <w:p>
      <w:pPr>
        <w:pStyle w:val="Normal"/>
        <w:ind w:left="630" w:right="0"/>
        <w:rPr>
          <w:sz w:val="20"/>
        </w:rPr>
      </w:pPr>
      <w:r>
        <w:rPr>
          <w:sz w:val="20"/>
        </w:rPr>
      </w:r>
    </w:p>
    <w:p>
      <w:pPr>
        <w:pStyle w:val="Normal"/>
        <w:ind w:left="630" w:right="0"/>
        <w:rPr>
          <w:sz w:val="20"/>
        </w:rPr>
      </w:pPr>
      <w:r>
        <w:rPr>
          <w:sz w:val="20"/>
        </w:rPr>
      </w:r>
    </w:p>
    <w:p>
      <w:pPr>
        <w:pStyle w:val="Normal"/>
        <w:ind w:left="630" w:right="0"/>
        <w:rPr>
          <w:sz w:val="20"/>
        </w:rPr>
      </w:pPr>
      <w:r>
        <w:rPr>
          <w:sz w:val="20"/>
        </w:rPr>
      </w:r>
    </w:p>
    <w:p>
      <w:pPr>
        <w:pStyle w:val="Normal"/>
        <w:ind w:left="630" w:right="0"/>
        <w:rPr>
          <w:sz w:val="20"/>
        </w:rPr>
      </w:pPr>
      <w:r>
        <w:rPr>
          <w:sz w:val="20"/>
        </w:rPr>
      </w:r>
    </w:p>
    <w:p>
      <w:pPr>
        <w:pStyle w:val="Normal"/>
        <w:ind w:left="630" w:right="0"/>
        <w:rPr/>
      </w:pPr>
      <w:r>
        <w:rPr>
          <w:sz w:val="20"/>
        </w:rPr>
        <w:t>（ⅱ）</w:t>
      </w:r>
      <w:r>
        <w:rPr>
          <w:sz w:val="20"/>
        </w:rPr>
        <w:t>IWF</w:t>
      </w:r>
      <w:r>
        <w:rPr>
          <w:sz w:val="20"/>
        </w:rPr>
        <w:t>で</w:t>
      </w:r>
      <w:r>
        <w:rPr>
          <w:sz w:val="20"/>
        </w:rPr>
        <w:t>請求入力できない（手処理）事案の不払「手術」</w:t>
      </w:r>
    </w:p>
    <w:p>
      <w:pPr>
        <w:pStyle w:val="Normal"/>
        <w:ind w:left="840" w:right="0"/>
        <w:rPr>
          <w:sz w:val="20"/>
        </w:rPr>
      </w:pPr>
      <w:r>
        <w:rPr>
          <w:sz w:val="20"/>
        </w:rPr>
        <w:t>簡易</w:t>
      </w:r>
      <w:r>
        <w:rPr>
          <w:sz w:val="20"/>
        </w:rPr>
        <w:t>給付</w:t>
      </w:r>
      <w:r>
        <w:rPr>
          <w:sz w:val="20"/>
        </w:rPr>
        <w:t>金支払起案</w:t>
      </w:r>
      <w:r>
        <w:rPr>
          <w:sz w:val="20"/>
        </w:rPr>
        <w:t>で</w:t>
      </w:r>
      <w:r>
        <w:rPr>
          <w:sz w:val="20"/>
        </w:rPr>
        <w:t>査定票を作成する場合も、査定者が不払理由コードをセットする。</w:t>
      </w:r>
    </w:p>
    <w:p>
      <w:pPr>
        <w:pStyle w:val="Normal"/>
        <w:ind w:left="210" w:right="0"/>
        <w:rPr>
          <w:sz w:val="20"/>
        </w:rPr>
      </w:pPr>
      <w:r>
        <w:rPr>
          <w:sz w:val="20"/>
        </w:rPr>
      </w:r>
    </w:p>
    <w:p>
      <w:pPr>
        <w:pStyle w:val="Normal"/>
        <w:ind w:left="420" w:right="0"/>
        <w:rPr>
          <w:sz w:val="20"/>
        </w:rPr>
      </w:pPr>
      <w:r>
        <w:rPr>
          <w:rFonts w:ascii="ＭＳ 明朝;MS Mincho" w:hAnsi="ＭＳ 明朝;MS Mincho" w:cs="ＭＳ 明朝;MS Mincho"/>
          <w:sz w:val="20"/>
        </w:rPr>
        <w:t>②</w:t>
      </w:r>
      <w:r>
        <w:rPr>
          <w:sz w:val="20"/>
        </w:rPr>
        <w:t>現物書類で回送される事案（請求入力できる事案・できない（手処理）事案）</w:t>
      </w:r>
    </w:p>
    <w:p>
      <w:pPr>
        <w:pStyle w:val="Normal"/>
        <w:ind w:left="630" w:right="0"/>
        <w:rPr>
          <w:sz w:val="20"/>
        </w:rPr>
      </w:pPr>
      <w:r>
        <w:rPr>
          <w:sz w:val="20"/>
        </w:rPr>
        <w:t>不払とする手術があった場合、検証者は検証時に「不払手術入力要」のタグを査定票に付し、担当者がエクセルに不払手術情報を入力し、管理する。</w:t>
      </w:r>
    </w:p>
    <w:p>
      <w:pPr>
        <w:pStyle w:val="Normal"/>
        <w:ind w:left="630" w:right="0"/>
        <w:rPr>
          <w:sz w:val="20"/>
        </w:rPr>
      </w:pPr>
      <w:r>
        <w:rPr>
          <w:sz w:val="20"/>
        </w:rPr>
      </w:r>
    </w:p>
    <w:p>
      <w:pPr>
        <w:pStyle w:val="Normal"/>
        <w:ind w:left="210" w:right="0"/>
        <w:rPr>
          <w:sz w:val="20"/>
        </w:rPr>
      </w:pPr>
      <w:r>
        <w:rPr>
          <w:sz w:val="20"/>
        </w:rPr>
        <w:t>【現物書類の流れ】</w:t>
      </w:r>
      <w:r>
        <mc:AlternateContent>
          <mc:Choice Requires="wps">
            <w:drawing>
              <wp:anchor behindDoc="0" distT="0" distB="0" distL="114935" distR="114935" simplePos="0" locked="0" layoutInCell="1" allowOverlap="1" relativeHeight="13">
                <wp:simplePos x="0" y="0"/>
                <wp:positionH relativeFrom="column">
                  <wp:posOffset>4939030</wp:posOffset>
                </wp:positionH>
                <wp:positionV relativeFrom="paragraph">
                  <wp:posOffset>177165</wp:posOffset>
                </wp:positionV>
                <wp:extent cx="875665" cy="698500"/>
                <wp:effectExtent l="0" t="0" r="0" b="0"/>
                <wp:wrapNone/>
                <wp:docPr id="6" name="枠1"/>
                <a:graphic xmlns:a="http://schemas.openxmlformats.org/drawingml/2006/main">
                  <a:graphicData uri="http://schemas.microsoft.com/office/word/2010/wordprocessingShape">
                    <wps:wsp>
                      <wps:cNvSpPr txBox="1"/>
                      <wps:spPr>
                        <a:xfrm>
                          <a:off x="0" y="0"/>
                          <a:ext cx="875665" cy="698500"/>
                        </a:xfrm>
                        <a:prstGeom prst="rect"/>
                        <a:solidFill>
                          <a:srgbClr val="FFFFFF"/>
                        </a:solidFill>
                        <a:ln w="9525">
                          <a:solidFill>
                            <a:srgbClr val="000000"/>
                          </a:solidFill>
                        </a:ln>
                      </wps:spPr>
                      <wps:txbx>
                        <w:txbxContent>
                          <w:p>
                            <w:pPr>
                              <w:pStyle w:val="Normal"/>
                              <w:rPr>
                                <w:sz w:val="16"/>
                              </w:rPr>
                            </w:pPr>
                            <w:r>
                              <w:rPr>
                                <w:sz w:val="16"/>
                              </w:rPr>
                              <w:t>現物支払済不払手術入力要箱へ</w:t>
                            </w:r>
                          </w:p>
                        </w:txbxContent>
                      </wps:txbx>
                      <wps:bodyPr anchor="t" lIns="91440" tIns="45720" rIns="91440" bIns="45720">
                        <a:noAutofit/>
                      </wps:bodyPr>
                    </wps:wsp>
                  </a:graphicData>
                </a:graphic>
              </wp:anchor>
            </w:drawing>
          </mc:Choice>
          <mc:Fallback>
            <w:pict>
              <v:rect fillcolor="#FFFFFF" strokecolor="#000000" strokeweight="0pt" style="position:absolute;rotation:-0;width:68.95pt;height:55pt;mso-wrap-distance-left:9.05pt;mso-wrap-distance-right:9.05pt;mso-wrap-distance-top:0pt;mso-wrap-distance-bottom:0pt;margin-top:13.95pt;mso-position-vertical-relative:text;margin-left:388.9pt;mso-position-horizontal-relative:text">
                <v:textbox>
                  <w:txbxContent>
                    <w:p>
                      <w:pPr>
                        <w:pStyle w:val="Normal"/>
                        <w:rPr>
                          <w:sz w:val="16"/>
                        </w:rPr>
                      </w:pPr>
                      <w:r>
                        <w:rPr>
                          <w:sz w:val="16"/>
                        </w:rPr>
                        <w:t>現物支払済不払手術入力要箱へ</w:t>
                      </w:r>
                    </w:p>
                  </w:txbxContent>
                </v:textbox>
                <w10:wrap type="none"/>
              </v:rect>
            </w:pict>
          </mc:Fallback>
        </mc:AlternateContent>
      </w:r>
    </w:p>
    <w:p>
      <w:pPr>
        <w:pStyle w:val="Normal"/>
        <w:ind w:left="210" w:right="0"/>
        <w:rPr>
          <w:sz w:val="20"/>
          <w:lang w:val="ja-JP" w:eastAsia="ja-JP"/>
        </w:rPr>
      </w:pPr>
      <w:r>
        <w:rPr>
          <w:sz w:val="20"/>
          <w:lang w:val="ja-JP" w:eastAsia="ja-JP"/>
        </w:rPr>
      </w:r>
      <w:r>
        <mc:AlternateContent>
          <mc:Choice Requires="wps">
            <w:drawing>
              <wp:anchor behindDoc="0" distT="0" distB="0" distL="114935" distR="114935" simplePos="0" locked="0" layoutInCell="1" allowOverlap="1" relativeHeight="9">
                <wp:simplePos x="0" y="0"/>
                <wp:positionH relativeFrom="column">
                  <wp:posOffset>195580</wp:posOffset>
                </wp:positionH>
                <wp:positionV relativeFrom="paragraph">
                  <wp:posOffset>-4445</wp:posOffset>
                </wp:positionV>
                <wp:extent cx="475615" cy="662305"/>
                <wp:effectExtent l="0" t="0" r="0" b="0"/>
                <wp:wrapNone/>
                <wp:docPr id="7" name="枠5"/>
                <a:graphic xmlns:a="http://schemas.openxmlformats.org/drawingml/2006/main">
                  <a:graphicData uri="http://schemas.microsoft.com/office/word/2010/wordprocessingShape">
                    <wps:wsp>
                      <wps:cNvSpPr txBox="1"/>
                      <wps:spPr>
                        <a:xfrm>
                          <a:off x="0" y="0"/>
                          <a:ext cx="475615" cy="662305"/>
                        </a:xfrm>
                        <a:prstGeom prst="rect"/>
                        <a:solidFill>
                          <a:srgbClr val="FFFFFF"/>
                        </a:solidFill>
                        <a:ln w="9525">
                          <a:solidFill>
                            <a:srgbClr val="000000"/>
                          </a:solidFill>
                        </a:ln>
                      </wps:spPr>
                      <wps:txbx>
                        <w:txbxContent>
                          <w:p>
                            <w:pPr>
                              <w:pStyle w:val="Normal"/>
                              <w:rPr>
                                <w:sz w:val="20"/>
                              </w:rPr>
                            </w:pPr>
                            <w:r>
                              <w:rPr>
                                <w:sz w:val="20"/>
                              </w:rPr>
                              <w:t>現物</w:t>
                            </w:r>
                          </w:p>
                        </w:txbxContent>
                      </wps:txbx>
                      <wps:bodyPr anchor="t" lIns="91440" tIns="45720" rIns="91440" bIns="45720">
                        <a:noAutofit/>
                      </wps:bodyPr>
                    </wps:wsp>
                  </a:graphicData>
                </a:graphic>
              </wp:anchor>
            </w:drawing>
          </mc:Choice>
          <mc:Fallback>
            <w:pict>
              <v:rect fillcolor="#FFFFFF" strokecolor="#000000" strokeweight="0pt" style="position:absolute;rotation:-0;width:37.45pt;height:52.15pt;mso-wrap-distance-left:9.05pt;mso-wrap-distance-right:9.05pt;mso-wrap-distance-top:0pt;mso-wrap-distance-bottom:0pt;margin-top:-0.35pt;mso-position-vertical-relative:text;margin-left:15.4pt;mso-position-horizontal-relative:text">
                <v:textbox>
                  <w:txbxContent>
                    <w:p>
                      <w:pPr>
                        <w:pStyle w:val="Normal"/>
                        <w:rPr>
                          <w:sz w:val="20"/>
                        </w:rPr>
                      </w:pPr>
                      <w:r>
                        <w:rPr>
                          <w:sz w:val="20"/>
                        </w:rPr>
                        <w:t>現物</w:t>
                      </w:r>
                    </w:p>
                  </w:txbxContent>
                </v:textbox>
                <w10:wrap type="none"/>
              </v:rect>
            </w:pict>
          </mc:Fallback>
        </mc:AlternateContent>
      </w:r>
      <w:r>
        <mc:AlternateContent>
          <mc:Choice Requires="wps">
            <w:drawing>
              <wp:anchor behindDoc="0" distT="0" distB="0" distL="114935" distR="114935" simplePos="0" locked="0" layoutInCell="1" allowOverlap="1" relativeHeight="10">
                <wp:simplePos x="0" y="0"/>
                <wp:positionH relativeFrom="column">
                  <wp:posOffset>862330</wp:posOffset>
                </wp:positionH>
                <wp:positionV relativeFrom="paragraph">
                  <wp:posOffset>-4445</wp:posOffset>
                </wp:positionV>
                <wp:extent cx="475615" cy="662305"/>
                <wp:effectExtent l="0" t="0" r="0" b="0"/>
                <wp:wrapNone/>
                <wp:docPr id="8" name="枠8"/>
                <a:graphic xmlns:a="http://schemas.openxmlformats.org/drawingml/2006/main">
                  <a:graphicData uri="http://schemas.microsoft.com/office/word/2010/wordprocessingShape">
                    <wps:wsp>
                      <wps:cNvSpPr txBox="1"/>
                      <wps:spPr>
                        <a:xfrm>
                          <a:off x="0" y="0"/>
                          <a:ext cx="475615" cy="662305"/>
                        </a:xfrm>
                        <a:prstGeom prst="rect"/>
                        <a:solidFill>
                          <a:srgbClr val="FFFFFF"/>
                        </a:solidFill>
                        <a:ln w="9525">
                          <a:solidFill>
                            <a:srgbClr val="000000"/>
                          </a:solidFill>
                        </a:ln>
                      </wps:spPr>
                      <wps:txbx>
                        <w:txbxContent>
                          <w:p>
                            <w:pPr>
                              <w:pStyle w:val="Normal"/>
                              <w:rPr>
                                <w:sz w:val="20"/>
                              </w:rPr>
                            </w:pPr>
                            <w:r>
                              <w:rPr>
                                <w:sz w:val="20"/>
                              </w:rPr>
                              <w:t>査定</w:t>
                            </w:r>
                          </w:p>
                        </w:txbxContent>
                      </wps:txbx>
                      <wps:bodyPr anchor="t" lIns="91440" tIns="45720" rIns="91440" bIns="45720">
                        <a:noAutofit/>
                      </wps:bodyPr>
                    </wps:wsp>
                  </a:graphicData>
                </a:graphic>
              </wp:anchor>
            </w:drawing>
          </mc:Choice>
          <mc:Fallback>
            <w:pict>
              <v:rect fillcolor="#FFFFFF" strokecolor="#000000" strokeweight="0pt" style="position:absolute;rotation:-0;width:37.45pt;height:52.15pt;mso-wrap-distance-left:9.05pt;mso-wrap-distance-right:9.05pt;mso-wrap-distance-top:0pt;mso-wrap-distance-bottom:0pt;margin-top:-0.35pt;mso-position-vertical-relative:text;margin-left:67.9pt;mso-position-horizontal-relative:text">
                <v:textbox>
                  <w:txbxContent>
                    <w:p>
                      <w:pPr>
                        <w:pStyle w:val="Normal"/>
                        <w:rPr>
                          <w:sz w:val="20"/>
                        </w:rPr>
                      </w:pPr>
                      <w:r>
                        <w:rPr>
                          <w:sz w:val="20"/>
                        </w:rPr>
                        <w:t>査定</w:t>
                      </w:r>
                    </w:p>
                  </w:txbxContent>
                </v:textbox>
                <w10:wrap type="none"/>
              </v:rect>
            </w:pict>
          </mc:Fallback>
        </mc:AlternateContent>
      </w:r>
      <w:r>
        <mc:AlternateContent>
          <mc:Choice Requires="wps">
            <w:drawing>
              <wp:anchor behindDoc="0" distT="0" distB="0" distL="114935" distR="114935" simplePos="0" locked="0" layoutInCell="1" allowOverlap="1" relativeHeight="11">
                <wp:simplePos x="0" y="0"/>
                <wp:positionH relativeFrom="column">
                  <wp:posOffset>6132195</wp:posOffset>
                </wp:positionH>
                <wp:positionV relativeFrom="paragraph">
                  <wp:posOffset>-4445</wp:posOffset>
                </wp:positionV>
                <wp:extent cx="475615" cy="662305"/>
                <wp:effectExtent l="0" t="0" r="0" b="0"/>
                <wp:wrapNone/>
                <wp:docPr id="9" name="枠2"/>
                <a:graphic xmlns:a="http://schemas.openxmlformats.org/drawingml/2006/main">
                  <a:graphicData uri="http://schemas.microsoft.com/office/word/2010/wordprocessingShape">
                    <wps:wsp>
                      <wps:cNvSpPr txBox="1"/>
                      <wps:spPr>
                        <a:xfrm>
                          <a:off x="0" y="0"/>
                          <a:ext cx="475615" cy="662305"/>
                        </a:xfrm>
                        <a:prstGeom prst="rect"/>
                        <a:solidFill>
                          <a:srgbClr val="FFFFFF"/>
                        </a:solidFill>
                        <a:ln w="9525">
                          <a:solidFill>
                            <a:srgbClr val="000000"/>
                          </a:solidFill>
                        </a:ln>
                      </wps:spPr>
                      <wps:txbx>
                        <w:txbxContent>
                          <w:p>
                            <w:pPr>
                              <w:pStyle w:val="Normal"/>
                              <w:rPr>
                                <w:sz w:val="20"/>
                              </w:rPr>
                            </w:pPr>
                            <w:r>
                              <w:rPr>
                                <w:sz w:val="20"/>
                              </w:rPr>
                              <w:t>ｴｸｾﾙ</w:t>
                            </w:r>
                          </w:p>
                          <w:p>
                            <w:pPr>
                              <w:pStyle w:val="Normal"/>
                              <w:rPr>
                                <w:sz w:val="20"/>
                              </w:rPr>
                            </w:pPr>
                            <w:r>
                              <w:rPr>
                                <w:sz w:val="20"/>
                              </w:rPr>
                              <w:t>入力</w:t>
                            </w:r>
                          </w:p>
                        </w:txbxContent>
                      </wps:txbx>
                      <wps:bodyPr anchor="t" lIns="91440" tIns="45720" rIns="91440" bIns="45720">
                        <a:noAutofit/>
                      </wps:bodyPr>
                    </wps:wsp>
                  </a:graphicData>
                </a:graphic>
              </wp:anchor>
            </w:drawing>
          </mc:Choice>
          <mc:Fallback>
            <w:pict>
              <v:rect fillcolor="#FFFFFF" strokecolor="#000000" strokeweight="0pt" style="position:absolute;rotation:-0;width:37.45pt;height:52.15pt;mso-wrap-distance-left:9.05pt;mso-wrap-distance-right:9.05pt;mso-wrap-distance-top:0pt;mso-wrap-distance-bottom:0pt;margin-top:-0.35pt;mso-position-vertical-relative:text;margin-left:482.85pt;mso-position-horizontal-relative:text">
                <v:textbox>
                  <w:txbxContent>
                    <w:p>
                      <w:pPr>
                        <w:pStyle w:val="Normal"/>
                        <w:rPr>
                          <w:sz w:val="20"/>
                        </w:rPr>
                      </w:pPr>
                      <w:r>
                        <w:rPr>
                          <w:sz w:val="20"/>
                        </w:rPr>
                        <w:t>ｴｸｾﾙ</w:t>
                      </w:r>
                    </w:p>
                    <w:p>
                      <w:pPr>
                        <w:pStyle w:val="Normal"/>
                        <w:rPr>
                          <w:sz w:val="20"/>
                        </w:rPr>
                      </w:pPr>
                      <w:r>
                        <w:rPr>
                          <w:sz w:val="20"/>
                        </w:rPr>
                        <w:t>入力</w:t>
                      </w:r>
                    </w:p>
                  </w:txbxContent>
                </v:textbox>
                <w10:wrap type="none"/>
              </v:rect>
            </w:pict>
          </mc:Fallback>
        </mc:AlternateContent>
      </w:r>
      <w:r>
        <mc:AlternateContent>
          <mc:Choice Requires="wps">
            <w:drawing>
              <wp:anchor behindDoc="0" distT="0" distB="0" distL="114935" distR="114935" simplePos="0" locked="0" layoutInCell="1" allowOverlap="1" relativeHeight="12">
                <wp:simplePos x="0" y="0"/>
                <wp:positionH relativeFrom="column">
                  <wp:posOffset>1529080</wp:posOffset>
                </wp:positionH>
                <wp:positionV relativeFrom="paragraph">
                  <wp:posOffset>-4445</wp:posOffset>
                </wp:positionV>
                <wp:extent cx="475615" cy="662305"/>
                <wp:effectExtent l="0" t="0" r="0" b="0"/>
                <wp:wrapNone/>
                <wp:docPr id="10" name="枠7"/>
                <a:graphic xmlns:a="http://schemas.openxmlformats.org/drawingml/2006/main">
                  <a:graphicData uri="http://schemas.microsoft.com/office/word/2010/wordprocessingShape">
                    <wps:wsp>
                      <wps:cNvSpPr txBox="1"/>
                      <wps:spPr>
                        <a:xfrm>
                          <a:off x="0" y="0"/>
                          <a:ext cx="475615" cy="662305"/>
                        </a:xfrm>
                        <a:prstGeom prst="rect"/>
                        <a:solidFill>
                          <a:srgbClr val="CCFFCC"/>
                        </a:solidFill>
                        <a:ln w="9525">
                          <a:solidFill>
                            <a:srgbClr val="000000"/>
                          </a:solidFill>
                        </a:ln>
                      </wps:spPr>
                      <wps:txbx>
                        <w:txbxContent>
                          <w:p>
                            <w:pPr>
                              <w:pStyle w:val="Normal"/>
                              <w:rPr>
                                <w:sz w:val="20"/>
                              </w:rPr>
                            </w:pPr>
                            <w:r>
                              <w:rPr>
                                <w:sz w:val="20"/>
                              </w:rPr>
                              <w:t>検証</w:t>
                            </w:r>
                          </w:p>
                        </w:txbxContent>
                      </wps:txbx>
                      <wps:bodyPr anchor="t" lIns="91440" tIns="45720" rIns="91440" bIns="45720">
                        <a:noAutofit/>
                      </wps:bodyPr>
                    </wps:wsp>
                  </a:graphicData>
                </a:graphic>
              </wp:anchor>
            </w:drawing>
          </mc:Choice>
          <mc:Fallback>
            <w:pict>
              <v:rect fillcolor="#CCFFCC" strokecolor="#000000" strokeweight="0pt" style="position:absolute;rotation:-0;width:37.45pt;height:52.15pt;mso-wrap-distance-left:9.05pt;mso-wrap-distance-right:9.05pt;mso-wrap-distance-top:0pt;mso-wrap-distance-bottom:0pt;margin-top:-0.35pt;mso-position-vertical-relative:text;margin-left:120.4pt;mso-position-horizontal-relative:text">
                <v:textbox>
                  <w:txbxContent>
                    <w:p>
                      <w:pPr>
                        <w:pStyle w:val="Normal"/>
                        <w:rPr>
                          <w:sz w:val="20"/>
                        </w:rPr>
                      </w:pPr>
                      <w:r>
                        <w:rPr>
                          <w:sz w:val="20"/>
                        </w:rPr>
                        <w:t>検証</w:t>
                      </w:r>
                    </w:p>
                  </w:txbxContent>
                </v:textbox>
                <w10:wrap type="none"/>
              </v:rect>
            </w:pict>
          </mc:Fallback>
        </mc:AlternateContent>
      </w:r>
      <w:r>
        <mc:AlternateContent>
          <mc:Choice Requires="wps">
            <w:drawing>
              <wp:anchor behindDoc="0" distT="0" distB="0" distL="114935" distR="114935" simplePos="0" locked="0" layoutInCell="1" allowOverlap="1" relativeHeight="14">
                <wp:simplePos x="0" y="0"/>
                <wp:positionH relativeFrom="column">
                  <wp:posOffset>2862580</wp:posOffset>
                </wp:positionH>
                <wp:positionV relativeFrom="paragraph">
                  <wp:posOffset>-4445</wp:posOffset>
                </wp:positionV>
                <wp:extent cx="875665" cy="662305"/>
                <wp:effectExtent l="0" t="0" r="0" b="0"/>
                <wp:wrapNone/>
                <wp:docPr id="11" name="枠4"/>
                <a:graphic xmlns:a="http://schemas.openxmlformats.org/drawingml/2006/main">
                  <a:graphicData uri="http://schemas.microsoft.com/office/word/2010/wordprocessingShape">
                    <wps:wsp>
                      <wps:cNvSpPr txBox="1"/>
                      <wps:spPr>
                        <a:xfrm>
                          <a:off x="0" y="0"/>
                          <a:ext cx="875665" cy="662305"/>
                        </a:xfrm>
                        <a:prstGeom prst="rect"/>
                        <a:solidFill>
                          <a:srgbClr val="FFFFFF"/>
                        </a:solidFill>
                        <a:ln w="9525">
                          <a:solidFill>
                            <a:srgbClr val="000000"/>
                          </a:solidFill>
                        </a:ln>
                      </wps:spPr>
                      <wps:txbx>
                        <w:txbxContent>
                          <w:p>
                            <w:pPr>
                              <w:pStyle w:val="Normal"/>
                              <w:jc w:val="center"/>
                              <w:rPr>
                                <w:sz w:val="20"/>
                              </w:rPr>
                            </w:pPr>
                            <w:r>
                              <w:rPr>
                                <w:sz w:val="20"/>
                              </w:rPr>
                              <w:t>現物扱い支払済み箱へ</w:t>
                            </w:r>
                          </w:p>
                        </w:txbxContent>
                      </wps:txbx>
                      <wps:bodyPr anchor="t" lIns="91440" tIns="45720" rIns="91440" bIns="45720">
                        <a:noAutofit/>
                      </wps:bodyPr>
                    </wps:wsp>
                  </a:graphicData>
                </a:graphic>
              </wp:anchor>
            </w:drawing>
          </mc:Choice>
          <mc:Fallback>
            <w:pict>
              <v:rect fillcolor="#FFFFFF" strokecolor="#000000" strokeweight="0pt" style="position:absolute;rotation:-0;width:68.95pt;height:52.15pt;mso-wrap-distance-left:9.05pt;mso-wrap-distance-right:9.05pt;mso-wrap-distance-top:0pt;mso-wrap-distance-bottom:0pt;margin-top:-0.35pt;mso-position-vertical-relative:text;margin-left:225.4pt;mso-position-horizontal-relative:text">
                <v:textbox>
                  <w:txbxContent>
                    <w:p>
                      <w:pPr>
                        <w:pStyle w:val="Normal"/>
                        <w:jc w:val="center"/>
                        <w:rPr>
                          <w:sz w:val="20"/>
                        </w:rPr>
                      </w:pPr>
                      <w:r>
                        <w:rPr>
                          <w:sz w:val="20"/>
                        </w:rPr>
                        <w:t>現物扱い支払済み箱へ</w:t>
                      </w:r>
                    </w:p>
                  </w:txbxContent>
                </v:textbox>
                <w10:wrap type="none"/>
              </v:rect>
            </w:pict>
          </mc:Fallback>
        </mc:AlternateContent>
      </w:r>
      <w:r>
        <mc:AlternateContent>
          <mc:Choice Requires="wps">
            <w:drawing>
              <wp:anchor behindDoc="0" distT="0" distB="0" distL="114935" distR="114935" simplePos="0" locked="0" layoutInCell="1" allowOverlap="1" relativeHeight="15">
                <wp:simplePos x="0" y="0"/>
                <wp:positionH relativeFrom="column">
                  <wp:posOffset>2195830</wp:posOffset>
                </wp:positionH>
                <wp:positionV relativeFrom="paragraph">
                  <wp:posOffset>-4445</wp:posOffset>
                </wp:positionV>
                <wp:extent cx="475615" cy="662305"/>
                <wp:effectExtent l="0" t="0" r="0" b="0"/>
                <wp:wrapNone/>
                <wp:docPr id="12" name="枠6"/>
                <a:graphic xmlns:a="http://schemas.openxmlformats.org/drawingml/2006/main">
                  <a:graphicData uri="http://schemas.microsoft.com/office/word/2010/wordprocessingShape">
                    <wps:wsp>
                      <wps:cNvSpPr txBox="1"/>
                      <wps:spPr>
                        <a:xfrm>
                          <a:off x="0" y="0"/>
                          <a:ext cx="475615" cy="662305"/>
                        </a:xfrm>
                        <a:prstGeom prst="rect"/>
                        <a:solidFill>
                          <a:srgbClr val="FFFFFF"/>
                        </a:solidFill>
                        <a:ln w="9525">
                          <a:solidFill>
                            <a:srgbClr val="000000"/>
                          </a:solidFill>
                        </a:ln>
                      </wps:spPr>
                      <wps:txbx>
                        <w:txbxContent>
                          <w:p>
                            <w:pPr>
                              <w:pStyle w:val="Normal"/>
                              <w:rPr>
                                <w:sz w:val="20"/>
                              </w:rPr>
                            </w:pPr>
                            <w:r>
                              <w:rPr>
                                <w:sz w:val="20"/>
                              </w:rPr>
                              <w:t>決定</w:t>
                            </w:r>
                          </w:p>
                          <w:p>
                            <w:pPr>
                              <w:pStyle w:val="Normal"/>
                              <w:rPr>
                                <w:sz w:val="20"/>
                              </w:rPr>
                            </w:pPr>
                            <w:r>
                              <w:rPr>
                                <w:sz w:val="20"/>
                              </w:rPr>
                              <w:t>入力</w:t>
                            </w:r>
                          </w:p>
                        </w:txbxContent>
                      </wps:txbx>
                      <wps:bodyPr anchor="t" lIns="91440" tIns="45720" rIns="91440" bIns="45720">
                        <a:noAutofit/>
                      </wps:bodyPr>
                    </wps:wsp>
                  </a:graphicData>
                </a:graphic>
              </wp:anchor>
            </w:drawing>
          </mc:Choice>
          <mc:Fallback>
            <w:pict>
              <v:rect fillcolor="#FFFFFF" strokecolor="#000000" strokeweight="0pt" style="position:absolute;rotation:-0;width:37.45pt;height:52.15pt;mso-wrap-distance-left:9.05pt;mso-wrap-distance-right:9.05pt;mso-wrap-distance-top:0pt;mso-wrap-distance-bottom:0pt;margin-top:-0.35pt;mso-position-vertical-relative:text;margin-left:172.9pt;mso-position-horizontal-relative:text">
                <v:textbox>
                  <w:txbxContent>
                    <w:p>
                      <w:pPr>
                        <w:pStyle w:val="Normal"/>
                        <w:rPr>
                          <w:sz w:val="20"/>
                        </w:rPr>
                      </w:pPr>
                      <w:r>
                        <w:rPr>
                          <w:sz w:val="20"/>
                        </w:rPr>
                        <w:t>決定</w:t>
                      </w:r>
                    </w:p>
                    <w:p>
                      <w:pPr>
                        <w:pStyle w:val="Normal"/>
                        <w:rPr>
                          <w:sz w:val="20"/>
                        </w:rPr>
                      </w:pPr>
                      <w:r>
                        <w:rPr>
                          <w:sz w:val="20"/>
                        </w:rPr>
                        <w:t>入力</w:t>
                      </w:r>
                    </w:p>
                  </w:txbxContent>
                </v:textbox>
                <w10:wrap type="none"/>
              </v:rect>
            </w:pict>
          </mc:Fallback>
        </mc:AlternateContent>
      </w:r>
      <w:r>
        <mc:AlternateContent>
          <mc:Choice Requires="wps">
            <w:drawing>
              <wp:anchor behindDoc="0" distT="0" distB="0" distL="114935" distR="114935" simplePos="0" locked="0" layoutInCell="1" allowOverlap="1" relativeHeight="16">
                <wp:simplePos x="0" y="0"/>
                <wp:positionH relativeFrom="column">
                  <wp:posOffset>3929380</wp:posOffset>
                </wp:positionH>
                <wp:positionV relativeFrom="paragraph">
                  <wp:posOffset>-4445</wp:posOffset>
                </wp:positionV>
                <wp:extent cx="808990" cy="662305"/>
                <wp:effectExtent l="0" t="0" r="0" b="0"/>
                <wp:wrapNone/>
                <wp:docPr id="13" name="枠3"/>
                <a:graphic xmlns:a="http://schemas.openxmlformats.org/drawingml/2006/main">
                  <a:graphicData uri="http://schemas.microsoft.com/office/word/2010/wordprocessingShape">
                    <wps:wsp>
                      <wps:cNvSpPr txBox="1"/>
                      <wps:spPr>
                        <a:xfrm>
                          <a:off x="0" y="0"/>
                          <a:ext cx="808990" cy="662305"/>
                        </a:xfrm>
                        <a:prstGeom prst="rect"/>
                        <a:solidFill>
                          <a:srgbClr val="FFFFFF"/>
                        </a:solidFill>
                        <a:ln w="9525">
                          <a:solidFill>
                            <a:srgbClr val="000000"/>
                          </a:solidFill>
                        </a:ln>
                      </wps:spPr>
                      <wps:txbx>
                        <w:txbxContent>
                          <w:p>
                            <w:pPr>
                              <w:pStyle w:val="Normal"/>
                              <w:jc w:val="center"/>
                              <w:rPr>
                                <w:sz w:val="20"/>
                              </w:rPr>
                            </w:pPr>
                            <w:r>
                              <w:rPr>
                                <w:sz w:val="20"/>
                              </w:rPr>
                              <w:t>支払監理係へ回送</w:t>
                            </w:r>
                          </w:p>
                        </w:txbxContent>
                      </wps:txbx>
                      <wps:bodyPr anchor="t" lIns="91440" tIns="45720" rIns="91440" bIns="45720">
                        <a:noAutofit/>
                      </wps:bodyPr>
                    </wps:wsp>
                  </a:graphicData>
                </a:graphic>
              </wp:anchor>
            </w:drawing>
          </mc:Choice>
          <mc:Fallback>
            <w:pict>
              <v:rect fillcolor="#FFFFFF" strokecolor="#000000" strokeweight="0pt" style="position:absolute;rotation:-0;width:63.7pt;height:52.15pt;mso-wrap-distance-left:9.05pt;mso-wrap-distance-right:9.05pt;mso-wrap-distance-top:0pt;mso-wrap-distance-bottom:0pt;margin-top:-0.35pt;mso-position-vertical-relative:text;margin-left:309.4pt;mso-position-horizontal-relative:text">
                <v:textbox>
                  <w:txbxContent>
                    <w:p>
                      <w:pPr>
                        <w:pStyle w:val="Normal"/>
                        <w:jc w:val="center"/>
                        <w:rPr>
                          <w:sz w:val="20"/>
                        </w:rPr>
                      </w:pPr>
                      <w:r>
                        <w:rPr>
                          <w:sz w:val="20"/>
                        </w:rPr>
                        <w:t>支払監理係へ回送</w:t>
                      </w:r>
                    </w:p>
                  </w:txbxContent>
                </v:textbox>
                <w10:wrap type="none"/>
              </v:rect>
            </w:pict>
          </mc:Fallback>
        </mc:AlternateContent>
      </w:r>
    </w:p>
    <w:p>
      <w:pPr>
        <w:pStyle w:val="Normal"/>
        <w:ind w:left="210" w:right="0"/>
        <w:rPr>
          <w:sz w:val="20"/>
          <w:lang w:val="ja-JP" w:eastAsia="ja-JP"/>
        </w:rPr>
      </w:pPr>
      <w:r>
        <w:rPr>
          <w:sz w:val="20"/>
          <w:lang w:val="ja-JP" w:eastAsia="ja-JP"/>
        </w:rPr>
        <mc:AlternateContent>
          <mc:Choice Requires="wps">
            <w:drawing>
              <wp:anchor behindDoc="0" distT="0" distB="0" distL="114935" distR="114935" simplePos="0" locked="0" layoutInCell="1" allowOverlap="1" relativeHeight="17">
                <wp:simplePos x="0" y="0"/>
                <wp:positionH relativeFrom="column">
                  <wp:posOffset>666750</wp:posOffset>
                </wp:positionH>
                <wp:positionV relativeFrom="paragraph">
                  <wp:posOffset>635</wp:posOffset>
                </wp:positionV>
                <wp:extent cx="200025" cy="217805"/>
                <wp:effectExtent l="5715" t="22860" r="5715" b="22225"/>
                <wp:wrapNone/>
                <wp:docPr id="14" name=""/>
                <a:graphic xmlns:a="http://schemas.openxmlformats.org/drawingml/2006/main">
                  <a:graphicData uri="http://schemas.microsoft.com/office/word/2010/wordprocessingShape">
                    <wps:wsp>
                      <wps:cNvSpPr/>
                      <wps:spPr>
                        <a:xfrm>
                          <a:off x="0" y="0"/>
                          <a:ext cx="200160" cy="217800"/>
                        </a:xfrm>
                        <a:prstGeom prst="rightArrow">
                          <a:avLst>
                            <a:gd name="adj1" fmla="val 50000"/>
                            <a:gd name="adj2" fmla="val 25000"/>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fillcolor="white" stroked="t" o:allowincell="f" style="position:absolute;margin-left:52.5pt;margin-top:0pt;width:15.7pt;height:17.1pt;mso-wrap-style:none;v-text-anchor:middle" type="_x0000_t13">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18">
                <wp:simplePos x="0" y="0"/>
                <wp:positionH relativeFrom="column">
                  <wp:posOffset>1333500</wp:posOffset>
                </wp:positionH>
                <wp:positionV relativeFrom="paragraph">
                  <wp:posOffset>635</wp:posOffset>
                </wp:positionV>
                <wp:extent cx="200025" cy="217805"/>
                <wp:effectExtent l="5715" t="22860" r="5715" b="22225"/>
                <wp:wrapNone/>
                <wp:docPr id="15" name=""/>
                <a:graphic xmlns:a="http://schemas.openxmlformats.org/drawingml/2006/main">
                  <a:graphicData uri="http://schemas.microsoft.com/office/word/2010/wordprocessingShape">
                    <wps:wsp>
                      <wps:cNvSpPr/>
                      <wps:spPr>
                        <a:xfrm>
                          <a:off x="0" y="0"/>
                          <a:ext cx="200160" cy="217800"/>
                        </a:xfrm>
                        <a:prstGeom prst="rightArrow">
                          <a:avLst>
                            <a:gd name="adj1" fmla="val 50000"/>
                            <a:gd name="adj2" fmla="val 25000"/>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shape id="shape_0" fillcolor="white" stroked="t" o:allowincell="f" style="position:absolute;margin-left:105pt;margin-top:0pt;width:15.7pt;height:17.1pt;mso-wrap-style:none;v-text-anchor:middle" type="_x0000_t13">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19">
                <wp:simplePos x="0" y="0"/>
                <wp:positionH relativeFrom="column">
                  <wp:posOffset>2000250</wp:posOffset>
                </wp:positionH>
                <wp:positionV relativeFrom="paragraph">
                  <wp:posOffset>635</wp:posOffset>
                </wp:positionV>
                <wp:extent cx="200025" cy="217805"/>
                <wp:effectExtent l="5715" t="22860" r="5715" b="22225"/>
                <wp:wrapNone/>
                <wp:docPr id="16" name=""/>
                <a:graphic xmlns:a="http://schemas.openxmlformats.org/drawingml/2006/main">
                  <a:graphicData uri="http://schemas.microsoft.com/office/word/2010/wordprocessingShape">
                    <wps:wsp>
                      <wps:cNvSpPr/>
                      <wps:spPr>
                        <a:xfrm>
                          <a:off x="0" y="0"/>
                          <a:ext cx="200160" cy="217800"/>
                        </a:xfrm>
                        <a:prstGeom prst="rightArrow">
                          <a:avLst>
                            <a:gd name="adj1" fmla="val 50000"/>
                            <a:gd name="adj2" fmla="val 25000"/>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shape id="shape_0" fillcolor="white" stroked="t" o:allowincell="f" style="position:absolute;margin-left:157.5pt;margin-top:0pt;width:15.7pt;height:17.1pt;mso-wrap-style:none;v-text-anchor:middle" type="_x0000_t13">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20">
                <wp:simplePos x="0" y="0"/>
                <wp:positionH relativeFrom="column">
                  <wp:posOffset>2667000</wp:posOffset>
                </wp:positionH>
                <wp:positionV relativeFrom="paragraph">
                  <wp:posOffset>635</wp:posOffset>
                </wp:positionV>
                <wp:extent cx="200025" cy="217805"/>
                <wp:effectExtent l="5715" t="22860" r="5715" b="22225"/>
                <wp:wrapNone/>
                <wp:docPr id="17" name=""/>
                <a:graphic xmlns:a="http://schemas.openxmlformats.org/drawingml/2006/main">
                  <a:graphicData uri="http://schemas.microsoft.com/office/word/2010/wordprocessingShape">
                    <wps:wsp>
                      <wps:cNvSpPr/>
                      <wps:spPr>
                        <a:xfrm>
                          <a:off x="0" y="0"/>
                          <a:ext cx="200160" cy="217800"/>
                        </a:xfrm>
                        <a:prstGeom prst="rightArrow">
                          <a:avLst>
                            <a:gd name="adj1" fmla="val 50000"/>
                            <a:gd name="adj2" fmla="val 25000"/>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shape id="shape_0" fillcolor="white" stroked="t" o:allowincell="f" style="position:absolute;margin-left:210pt;margin-top:0pt;width:15.7pt;height:17.1pt;mso-wrap-style:none;v-text-anchor:middle" type="_x0000_t13">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21">
                <wp:simplePos x="0" y="0"/>
                <wp:positionH relativeFrom="column">
                  <wp:posOffset>3733800</wp:posOffset>
                </wp:positionH>
                <wp:positionV relativeFrom="paragraph">
                  <wp:posOffset>635</wp:posOffset>
                </wp:positionV>
                <wp:extent cx="200025" cy="217805"/>
                <wp:effectExtent l="5715" t="22860" r="5715" b="22225"/>
                <wp:wrapNone/>
                <wp:docPr id="18" name=""/>
                <a:graphic xmlns:a="http://schemas.openxmlformats.org/drawingml/2006/main">
                  <a:graphicData uri="http://schemas.microsoft.com/office/word/2010/wordprocessingShape">
                    <wps:wsp>
                      <wps:cNvSpPr/>
                      <wps:spPr>
                        <a:xfrm>
                          <a:off x="0" y="0"/>
                          <a:ext cx="200160" cy="217800"/>
                        </a:xfrm>
                        <a:prstGeom prst="rightArrow">
                          <a:avLst>
                            <a:gd name="adj1" fmla="val 50000"/>
                            <a:gd name="adj2" fmla="val 25000"/>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shape id="shape_0" fillcolor="white" stroked="t" o:allowincell="f" style="position:absolute;margin-left:294pt;margin-top:0pt;width:15.7pt;height:17.1pt;mso-wrap-style:none;v-text-anchor:middle" type="_x0000_t13">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22">
                <wp:simplePos x="0" y="0"/>
                <wp:positionH relativeFrom="column">
                  <wp:posOffset>4733925</wp:posOffset>
                </wp:positionH>
                <wp:positionV relativeFrom="paragraph">
                  <wp:posOffset>635</wp:posOffset>
                </wp:positionV>
                <wp:extent cx="200025" cy="217805"/>
                <wp:effectExtent l="5715" t="22860" r="5715" b="22225"/>
                <wp:wrapNone/>
                <wp:docPr id="19" name=""/>
                <a:graphic xmlns:a="http://schemas.openxmlformats.org/drawingml/2006/main">
                  <a:graphicData uri="http://schemas.microsoft.com/office/word/2010/wordprocessingShape">
                    <wps:wsp>
                      <wps:cNvSpPr/>
                      <wps:spPr>
                        <a:xfrm>
                          <a:off x="0" y="0"/>
                          <a:ext cx="200160" cy="217800"/>
                        </a:xfrm>
                        <a:prstGeom prst="rightArrow">
                          <a:avLst>
                            <a:gd name="adj1" fmla="val 50000"/>
                            <a:gd name="adj2" fmla="val 25000"/>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shape id="shape_0" fillcolor="white" stroked="t" o:allowincell="f" style="position:absolute;margin-left:372.75pt;margin-top:0pt;width:15.7pt;height:17.1pt;mso-wrap-style:none;v-text-anchor:middle" type="_x0000_t13">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23">
                <wp:simplePos x="0" y="0"/>
                <wp:positionH relativeFrom="column">
                  <wp:posOffset>5867400</wp:posOffset>
                </wp:positionH>
                <wp:positionV relativeFrom="paragraph">
                  <wp:posOffset>635</wp:posOffset>
                </wp:positionV>
                <wp:extent cx="200025" cy="217805"/>
                <wp:effectExtent l="5715" t="22860" r="5715" b="22225"/>
                <wp:wrapNone/>
                <wp:docPr id="20" name=""/>
                <a:graphic xmlns:a="http://schemas.openxmlformats.org/drawingml/2006/main">
                  <a:graphicData uri="http://schemas.microsoft.com/office/word/2010/wordprocessingShape">
                    <wps:wsp>
                      <wps:cNvSpPr/>
                      <wps:spPr>
                        <a:xfrm>
                          <a:off x="0" y="0"/>
                          <a:ext cx="200160" cy="217800"/>
                        </a:xfrm>
                        <a:prstGeom prst="rightArrow">
                          <a:avLst>
                            <a:gd name="adj1" fmla="val 50000"/>
                            <a:gd name="adj2" fmla="val 25000"/>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shape id="shape_0" fillcolor="white" stroked="t" o:allowincell="f" style="position:absolute;margin-left:462pt;margin-top:0pt;width:15.7pt;height:17.1pt;mso-wrap-style:none;v-text-anchor:middle" type="_x0000_t13">
                <v:fill o:detectmouseclick="t" type="solid" color2="black"/>
                <v:stroke color="black" weight="9360" joinstyle="miter" endcap="flat"/>
                <w10:wrap type="none"/>
              </v:shape>
            </w:pict>
          </mc:Fallback>
        </mc:AlternateContent>
      </w:r>
    </w:p>
    <w:p>
      <w:pPr>
        <w:pStyle w:val="Normal"/>
        <w:ind w:left="210" w:right="0"/>
        <w:rPr>
          <w:sz w:val="20"/>
        </w:rPr>
      </w:pPr>
      <w:r>
        <w:rPr>
          <w:sz w:val="20"/>
        </w:rPr>
      </w:r>
    </w:p>
    <w:p>
      <w:pPr>
        <w:pStyle w:val="Normal"/>
        <w:ind w:left="210" w:right="0"/>
        <w:rPr>
          <w:sz w:val="20"/>
        </w:rPr>
      </w:pPr>
      <w:r>
        <w:rPr>
          <w:sz w:val="20"/>
        </w:rPr>
      </w:r>
    </w:p>
    <w:p>
      <w:pPr>
        <w:pStyle w:val="Normal"/>
        <w:ind w:left="210" w:right="0"/>
        <w:rPr>
          <w:sz w:val="20"/>
          <w:lang w:val="ja-JP" w:eastAsia="ja-JP"/>
        </w:rPr>
      </w:pPr>
      <w:r>
        <w:rPr>
          <w:sz w:val="20"/>
          <w:lang w:val="ja-JP" w:eastAsia="ja-JP"/>
        </w:rPr>
        <mc:AlternateContent>
          <mc:Choice Requires="wps">
            <w:drawing>
              <wp:anchor behindDoc="0" distT="0" distB="0" distL="114935" distR="114935" simplePos="0" locked="0" layoutInCell="1" allowOverlap="1" relativeHeight="24">
                <wp:simplePos x="0" y="0"/>
                <wp:positionH relativeFrom="column">
                  <wp:posOffset>1333500</wp:posOffset>
                </wp:positionH>
                <wp:positionV relativeFrom="paragraph">
                  <wp:posOffset>635</wp:posOffset>
                </wp:positionV>
                <wp:extent cx="1400175" cy="546735"/>
                <wp:effectExtent l="5715" t="230505" r="5080" b="5080"/>
                <wp:wrapNone/>
                <wp:docPr id="21" name=""/>
                <a:graphic xmlns:a="http://schemas.openxmlformats.org/drawingml/2006/main">
                  <a:graphicData uri="http://schemas.microsoft.com/office/word/2010/wordprocessingShape">
                    <wps:wsp>
                      <wps:cNvSpPr/>
                      <wps:spPr>
                        <a:xfrm>
                          <a:off x="0" y="0"/>
                          <a:ext cx="1400040" cy="546840"/>
                        </a:xfrm>
                        <a:prstGeom prst="wedgeRoundRectCallout">
                          <a:avLst>
                            <a:gd name="adj1" fmla="val -19388"/>
                            <a:gd name="adj2" fmla="val -90532"/>
                            <a:gd name="adj3" fmla="val 16667"/>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kern w:val="2"/>
                                <w:sz w:val="20"/>
                                <w:szCs w:val="24"/>
                                <w:rFonts w:ascii="Century" w:hAnsi="Century" w:eastAsia="ＭＳ 明朝;MS Mincho" w:cs="Times New Roman"/>
                                <w:color w:val="auto"/>
                                <w:lang w:val="en-US" w:eastAsia="ja-JP" w:bidi="ar-SA"/>
                              </w:rPr>
                              <w:t>「不払手術入力要」</w:t>
                            </w:r>
                          </w:p>
                          <w:p>
                            <w:pPr>
                              <w:overflowPunct w:val="false"/>
                              <w:bidi w:val="0"/>
                              <w:jc w:val="both"/>
                              <w:rPr/>
                            </w:pPr>
                            <w:r>
                              <w:rPr>
                                <w:kern w:val="2"/>
                                <w:sz w:val="20"/>
                                <w:szCs w:val="24"/>
                                <w:rFonts w:ascii="Century" w:hAnsi="Century" w:eastAsia="ＭＳ 明朝;MS Mincho" w:cs="Times New Roman"/>
                                <w:color w:val="auto"/>
                                <w:lang w:val="en-US" w:eastAsia="ja-JP" w:bidi="ar-SA"/>
                              </w:rPr>
                              <w:t>のタグを付ける</w:t>
                            </w:r>
                          </w:p>
                        </w:txbxContent>
                      </wps:txbx>
                      <wps:bodyPr anchor="t">
                        <a:noAutofit/>
                      </wps:bodyPr>
                    </wps:wsp>
                  </a:graphicData>
                </a:graphic>
              </wp:anchor>
            </w:drawing>
          </mc:Choice>
          <mc:Fallback>
            <w:pict>
              <v:shape id="shape_0" fillcolor="white" stroked="t" o:allowincell="f" style="position:absolute;margin-left:105pt;margin-top:0pt;width:110.2pt;height:43pt;mso-wrap-style:square;v-text-anchor:top" type="_x0000_t17">
                <v:textbox>
                  <w:txbxContent>
                    <w:p>
                      <w:pPr>
                        <w:overflowPunct w:val="false"/>
                        <w:bidi w:val="0"/>
                        <w:jc w:val="both"/>
                        <w:rPr/>
                      </w:pPr>
                      <w:r>
                        <w:rPr>
                          <w:kern w:val="2"/>
                          <w:sz w:val="20"/>
                          <w:szCs w:val="24"/>
                          <w:rFonts w:ascii="Century" w:hAnsi="Century" w:eastAsia="ＭＳ 明朝;MS Mincho" w:cs="Times New Roman"/>
                          <w:color w:val="auto"/>
                          <w:lang w:val="en-US" w:eastAsia="ja-JP" w:bidi="ar-SA"/>
                        </w:rPr>
                        <w:t>「不払手術入力要」</w:t>
                      </w:r>
                    </w:p>
                    <w:p>
                      <w:pPr>
                        <w:overflowPunct w:val="false"/>
                        <w:bidi w:val="0"/>
                        <w:jc w:val="both"/>
                        <w:rPr/>
                      </w:pPr>
                      <w:r>
                        <w:rPr>
                          <w:kern w:val="2"/>
                          <w:sz w:val="20"/>
                          <w:szCs w:val="24"/>
                          <w:rFonts w:ascii="Century" w:hAnsi="Century" w:eastAsia="ＭＳ 明朝;MS Mincho" w:cs="Times New Roman"/>
                          <w:color w:val="auto"/>
                          <w:lang w:val="en-US" w:eastAsia="ja-JP" w:bidi="ar-SA"/>
                        </w:rPr>
                        <w:t>のタグを付ける</w:t>
                      </w:r>
                    </w:p>
                  </w:txbxContent>
                </v:textbox>
                <v:fill o:detectmouseclick="t" type="solid" color2="black"/>
                <v:stroke color="black" weight="9360" joinstyle="miter" endcap="flat"/>
                <w10:wrap type="none"/>
              </v:shape>
            </w:pict>
          </mc:Fallback>
        </mc:AlternateContent>
      </w:r>
    </w:p>
    <w:p>
      <w:pPr>
        <w:pStyle w:val="Normal"/>
        <w:ind w:left="210" w:right="0"/>
        <w:rPr>
          <w:sz w:val="20"/>
        </w:rPr>
      </w:pPr>
      <w:r>
        <w:rPr>
          <w:sz w:val="20"/>
        </w:rPr>
      </w:r>
    </w:p>
    <w:p>
      <w:pPr>
        <w:pStyle w:val="Normal"/>
        <w:ind w:left="210" w:right="0"/>
        <w:rPr>
          <w:sz w:val="20"/>
        </w:rPr>
      </w:pPr>
      <w:r>
        <w:rPr>
          <w:sz w:val="20"/>
        </w:rPr>
      </w:r>
    </w:p>
    <w:p>
      <w:pPr>
        <w:pStyle w:val="Normal"/>
        <w:ind w:left="210" w:right="0"/>
        <w:rPr>
          <w:sz w:val="20"/>
        </w:rPr>
      </w:pPr>
      <w:r>
        <w:rPr>
          <w:sz w:val="20"/>
        </w:rPr>
      </w:r>
    </w:p>
    <w:p>
      <w:pPr>
        <w:pStyle w:val="Normal"/>
        <w:ind w:left="210" w:right="0"/>
        <w:rPr>
          <w:sz w:val="20"/>
        </w:rPr>
      </w:pPr>
      <w:r>
        <w:rPr>
          <w:sz w:val="20"/>
        </w:rPr>
        <w:t>（２）確認査定Ｔ（給付金係）の手順</w:t>
      </w:r>
    </w:p>
    <w:p>
      <w:pPr>
        <w:pStyle w:val="Normal"/>
        <w:ind w:left="850" w:right="0"/>
        <w:rPr>
          <w:color w:val="FF0000"/>
          <w:sz w:val="20"/>
        </w:rPr>
      </w:pPr>
      <w:r>
        <w:rPr>
          <w:color w:val="FF0000"/>
          <w:sz w:val="20"/>
        </w:rPr>
        <w:t>確認査定Ｔ（給付金係）では、査定者は不払決裁に際して、「不払集計票・入力依頼表（</w:t>
      </w:r>
      <w:r>
        <w:rPr>
          <w:color w:val="FF0000"/>
          <w:sz w:val="20"/>
        </w:rPr>
        <w:t>2018.</w:t>
      </w:r>
      <w:r>
        <w:rPr>
          <w:color w:val="FF0000"/>
          <w:sz w:val="20"/>
        </w:rPr>
        <w:t>1</w:t>
      </w:r>
      <w:r>
        <w:rPr>
          <w:color w:val="FF0000"/>
          <w:sz w:val="20"/>
        </w:rPr>
        <w:t>作成）」を起票するとともに、以下の対応を行う。</w:t>
      </w:r>
    </w:p>
    <w:p>
      <w:pPr>
        <w:pStyle w:val="Normal"/>
        <w:ind w:left="630" w:right="0"/>
        <w:rPr>
          <w:color w:val="FF0000"/>
          <w:sz w:val="20"/>
        </w:rPr>
      </w:pPr>
      <w:r>
        <w:rPr>
          <w:color w:val="FF0000"/>
          <w:sz w:val="20"/>
        </w:rPr>
        <w:t>・給付金支払事案（一部不払）</w:t>
      </w:r>
    </w:p>
    <w:p>
      <w:pPr>
        <w:pStyle w:val="Normal"/>
        <w:ind w:left="850" w:right="0"/>
        <w:rPr>
          <w:color w:val="FF0000"/>
          <w:sz w:val="20"/>
        </w:rPr>
      </w:pPr>
      <w:r>
        <w:rPr>
          <w:color w:val="FF0000"/>
          <w:sz w:val="20"/>
        </w:rPr>
        <w:t>ＩＷＦ査定票コメント欄に不払（一部不払）に関する決裁内容を明記し、支払査定係にＩＷＦ査定内容について不払（一部不払）入力を依頼する。</w:t>
      </w:r>
    </w:p>
    <w:p>
      <w:pPr>
        <w:pStyle w:val="Normal"/>
        <w:ind w:left="708" w:right="0"/>
        <w:rPr>
          <w:color w:val="FF0000"/>
          <w:sz w:val="20"/>
        </w:rPr>
      </w:pPr>
      <w:r>
        <w:rPr>
          <w:color w:val="FF0000"/>
          <w:sz w:val="20"/>
        </w:rPr>
        <w:t>・給付金不払事案（全部不払）</w:t>
      </w:r>
    </w:p>
    <w:p>
      <w:pPr>
        <w:pStyle w:val="Normal"/>
        <w:ind w:left="850" w:right="0"/>
        <w:rPr>
          <w:color w:val="FF0000"/>
          <w:sz w:val="20"/>
        </w:rPr>
      </w:pPr>
      <w:r>
        <w:rPr>
          <w:color w:val="FF0000"/>
          <w:sz w:val="20"/>
        </w:rPr>
        <w:t>査定者自身がＩＷＦ査定内容について不払入力を行い、検証者による検証を経て次工程へ遷移させる。</w:t>
      </w:r>
    </w:p>
    <w:p>
      <w:pPr>
        <w:pStyle w:val="Normal"/>
        <w:ind w:left="850" w:right="0"/>
        <w:rPr>
          <w:color w:val="FF0000"/>
          <w:sz w:val="20"/>
        </w:rPr>
      </w:pPr>
      <w:r>
        <w:rPr>
          <w:color w:val="FF0000"/>
          <w:sz w:val="20"/>
        </w:rPr>
      </w:r>
    </w:p>
    <w:tbl>
      <w:tblPr>
        <w:tblW w:w="6690" w:type="dxa"/>
        <w:jc w:val="left"/>
        <w:tblInd w:w="922" w:type="dxa"/>
        <w:tblLayout w:type="fixed"/>
        <w:tblCellMar>
          <w:top w:w="0" w:type="dxa"/>
          <w:left w:w="99" w:type="dxa"/>
          <w:bottom w:w="0" w:type="dxa"/>
          <w:right w:w="99" w:type="dxa"/>
        </w:tblCellMar>
      </w:tblPr>
      <w:tblGrid>
        <w:gridCol w:w="2863"/>
        <w:gridCol w:w="3827"/>
      </w:tblGrid>
      <w:tr>
        <w:trPr>
          <w:trHeight w:val="285" w:hRule="atLeast"/>
        </w:trPr>
        <w:tc>
          <w:tcPr>
            <w:tcW w:w="2863" w:type="dxa"/>
            <w:tcBorders>
              <w:top w:val="single" w:sz="4" w:space="0" w:color="000000"/>
              <w:left w:val="single" w:sz="4" w:space="0" w:color="000000"/>
              <w:bottom w:val="double" w:sz="4" w:space="0" w:color="000000"/>
              <w:right w:val="single" w:sz="4" w:space="0" w:color="000000"/>
            </w:tcBorders>
            <w:shd w:fill="D8D8D8" w:val="clear"/>
            <w:vAlign w:val="center"/>
          </w:tcPr>
          <w:p>
            <w:pPr>
              <w:pStyle w:val="Normal"/>
              <w:jc w:val="center"/>
              <w:rPr>
                <w:rFonts w:eastAsia="ＭＳ ゴシック;MS Gothic"/>
                <w:color w:val="FF0000"/>
                <w:sz w:val="18"/>
              </w:rPr>
            </w:pPr>
            <w:r>
              <w:rPr>
                <w:rFonts w:eastAsia="ＭＳ ゴシック;MS Gothic"/>
                <w:color w:val="FF0000"/>
                <w:sz w:val="18"/>
              </w:rPr>
              <w:t>不払理由</w:t>
            </w:r>
          </w:p>
        </w:tc>
        <w:tc>
          <w:tcPr>
            <w:tcW w:w="3827" w:type="dxa"/>
            <w:tcBorders>
              <w:top w:val="single" w:sz="4" w:space="0" w:color="000000"/>
              <w:left w:val="single" w:sz="4" w:space="0" w:color="000000"/>
              <w:bottom w:val="double" w:sz="4" w:space="0" w:color="000000"/>
              <w:right w:val="single" w:sz="4" w:space="0" w:color="000000"/>
            </w:tcBorders>
            <w:shd w:fill="D8D8D8" w:val="clear"/>
            <w:vAlign w:val="center"/>
          </w:tcPr>
          <w:p>
            <w:pPr>
              <w:pStyle w:val="Normal"/>
              <w:jc w:val="center"/>
              <w:rPr>
                <w:rFonts w:eastAsia="ＭＳ ゴシック;MS Gothic"/>
                <w:color w:val="FF0000"/>
                <w:sz w:val="18"/>
              </w:rPr>
            </w:pPr>
            <w:r>
              <w:rPr>
                <w:rFonts w:eastAsia="ＭＳ ゴシック;MS Gothic"/>
                <w:color w:val="FF0000"/>
                <w:sz w:val="18"/>
              </w:rPr>
              <w:t>起票およびＩＷＦで選択する「不払理由」</w:t>
            </w:r>
          </w:p>
        </w:tc>
      </w:tr>
      <w:tr>
        <w:trPr>
          <w:trHeight w:val="206" w:hRule="atLeast"/>
        </w:trPr>
        <w:tc>
          <w:tcPr>
            <w:tcW w:w="2863" w:type="dxa"/>
            <w:tcBorders>
              <w:top w:val="double" w:sz="4" w:space="0" w:color="000000"/>
              <w:left w:val="single" w:sz="4" w:space="0" w:color="000000"/>
              <w:bottom w:val="single" w:sz="4" w:space="0" w:color="000000"/>
              <w:right w:val="single" w:sz="4" w:space="0" w:color="000000"/>
            </w:tcBorders>
            <w:vAlign w:val="center"/>
          </w:tcPr>
          <w:p>
            <w:pPr>
              <w:pStyle w:val="Normal"/>
              <w:rPr>
                <w:rFonts w:eastAsia="ＭＳ ゴシック;MS Gothic"/>
                <w:color w:val="FF0000"/>
                <w:sz w:val="18"/>
              </w:rPr>
            </w:pPr>
            <w:r>
              <w:rPr>
                <w:rFonts w:eastAsia="ＭＳ ゴシック;MS Gothic"/>
                <w:color w:val="FF0000"/>
                <w:sz w:val="18"/>
              </w:rPr>
              <w:t>がん無効</w:t>
            </w:r>
          </w:p>
        </w:tc>
        <w:tc>
          <w:tcPr>
            <w:tcW w:w="3827" w:type="dxa"/>
            <w:tcBorders>
              <w:top w:val="double" w:sz="4" w:space="0" w:color="000000"/>
              <w:left w:val="single" w:sz="4" w:space="0" w:color="000000"/>
              <w:bottom w:val="single" w:sz="4" w:space="0" w:color="000000"/>
              <w:right w:val="single" w:sz="4" w:space="0" w:color="000000"/>
            </w:tcBorders>
            <w:vAlign w:val="center"/>
          </w:tcPr>
          <w:p>
            <w:pPr>
              <w:pStyle w:val="Normal"/>
              <w:jc w:val="center"/>
              <w:rPr>
                <w:rFonts w:eastAsia="ＭＳ ゴシック;MS Gothic"/>
                <w:color w:val="FF0000"/>
                <w:sz w:val="18"/>
              </w:rPr>
            </w:pPr>
            <w:r>
              <w:rPr>
                <w:rFonts w:eastAsia="ＭＳ ゴシック;MS Gothic"/>
                <w:color w:val="FF0000"/>
                <w:sz w:val="18"/>
              </w:rPr>
              <w:t>がん無効</w:t>
            </w:r>
          </w:p>
        </w:tc>
      </w:tr>
      <w:tr>
        <w:trPr>
          <w:trHeight w:val="345" w:hRule="atLeast"/>
        </w:trPr>
        <w:tc>
          <w:tcPr>
            <w:tcW w:w="2863" w:type="dxa"/>
            <w:tcBorders>
              <w:top w:val="single" w:sz="4" w:space="0" w:color="000000"/>
              <w:left w:val="single" w:sz="4" w:space="0" w:color="000000"/>
              <w:bottom w:val="single" w:sz="4" w:space="0" w:color="000000"/>
              <w:right w:val="single" w:sz="4" w:space="0" w:color="000000"/>
            </w:tcBorders>
            <w:vAlign w:val="center"/>
          </w:tcPr>
          <w:p>
            <w:pPr>
              <w:pStyle w:val="Normal"/>
              <w:rPr>
                <w:rFonts w:eastAsia="ＭＳ ゴシック;MS Gothic"/>
                <w:color w:val="FF0000"/>
                <w:sz w:val="18"/>
              </w:rPr>
            </w:pPr>
            <w:r>
              <w:rPr>
                <w:rFonts w:eastAsia="ＭＳ ゴシック;MS Gothic"/>
                <w:color w:val="FF0000"/>
                <w:sz w:val="18"/>
              </w:rPr>
              <w:t>解除</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ＭＳ ゴシック;MS Gothic"/>
                <w:color w:val="FF0000"/>
                <w:sz w:val="18"/>
              </w:rPr>
            </w:pPr>
            <w:r>
              <w:rPr>
                <w:rFonts w:eastAsia="ＭＳ ゴシック;MS Gothic"/>
                <w:color w:val="FF0000"/>
                <w:sz w:val="18"/>
              </w:rPr>
              <w:t>解除（告反）</w:t>
            </w:r>
          </w:p>
        </w:tc>
      </w:tr>
      <w:tr>
        <w:trPr>
          <w:trHeight w:val="345" w:hRule="atLeast"/>
        </w:trPr>
        <w:tc>
          <w:tcPr>
            <w:tcW w:w="2863" w:type="dxa"/>
            <w:tcBorders>
              <w:top w:val="single" w:sz="4" w:space="0" w:color="000000"/>
              <w:left w:val="single" w:sz="4" w:space="0" w:color="000000"/>
              <w:bottom w:val="single" w:sz="4" w:space="0" w:color="000000"/>
              <w:right w:val="single" w:sz="4" w:space="0" w:color="000000"/>
            </w:tcBorders>
            <w:vAlign w:val="center"/>
          </w:tcPr>
          <w:p>
            <w:pPr>
              <w:pStyle w:val="Normal"/>
              <w:rPr>
                <w:rFonts w:eastAsia="ＭＳ ゴシック;MS Gothic"/>
                <w:color w:val="FF0000"/>
                <w:sz w:val="18"/>
              </w:rPr>
            </w:pPr>
            <w:r>
              <w:rPr>
                <w:rFonts w:eastAsia="ＭＳ ゴシック;MS Gothic"/>
                <w:color w:val="FF0000"/>
                <w:sz w:val="18"/>
              </w:rPr>
              <w:t>責前不払</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ＭＳ ゴシック;MS Gothic"/>
                <w:color w:val="FF0000"/>
                <w:sz w:val="18"/>
              </w:rPr>
            </w:pPr>
            <w:r>
              <w:rPr>
                <w:rFonts w:eastAsia="ＭＳ ゴシック;MS Gothic"/>
                <w:color w:val="FF0000"/>
                <w:sz w:val="18"/>
              </w:rPr>
              <w:t>責前非該当</w:t>
            </w:r>
          </w:p>
        </w:tc>
      </w:tr>
      <w:tr>
        <w:trPr>
          <w:trHeight w:val="315" w:hRule="atLeast"/>
        </w:trPr>
        <w:tc>
          <w:tcPr>
            <w:tcW w:w="2863" w:type="dxa"/>
            <w:tcBorders>
              <w:top w:val="single" w:sz="4" w:space="0" w:color="000000"/>
              <w:left w:val="single" w:sz="4" w:space="0" w:color="000000"/>
              <w:bottom w:val="single" w:sz="4" w:space="0" w:color="000000"/>
              <w:right w:val="single" w:sz="4" w:space="0" w:color="000000"/>
            </w:tcBorders>
            <w:vAlign w:val="center"/>
          </w:tcPr>
          <w:p>
            <w:pPr>
              <w:pStyle w:val="Normal"/>
              <w:rPr>
                <w:rFonts w:eastAsia="ＭＳ ゴシック;MS Gothic"/>
                <w:color w:val="FF0000"/>
                <w:sz w:val="18"/>
              </w:rPr>
            </w:pPr>
            <w:r>
              <w:rPr>
                <w:rFonts w:eastAsia="ＭＳ ゴシック;MS Gothic"/>
                <w:color w:val="FF0000"/>
                <w:sz w:val="18"/>
              </w:rPr>
              <w:t>モラル</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ＭＳ ゴシック;MS Gothic"/>
                <w:color w:val="FF0000"/>
                <w:sz w:val="18"/>
              </w:rPr>
            </w:pPr>
            <w:r>
              <w:rPr>
                <w:rFonts w:eastAsia="ＭＳ ゴシック;MS Gothic"/>
                <w:color w:val="FF0000"/>
                <w:sz w:val="18"/>
              </w:rPr>
              <w:t>モラル・不必要</w:t>
            </w:r>
          </w:p>
        </w:tc>
      </w:tr>
      <w:tr>
        <w:trPr>
          <w:trHeight w:val="210" w:hRule="atLeast"/>
        </w:trPr>
        <w:tc>
          <w:tcPr>
            <w:tcW w:w="2863" w:type="dxa"/>
            <w:tcBorders>
              <w:top w:val="single" w:sz="4" w:space="0" w:color="000000"/>
              <w:left w:val="single" w:sz="4" w:space="0" w:color="000000"/>
              <w:bottom w:val="single" w:sz="4" w:space="0" w:color="000000"/>
              <w:right w:val="single" w:sz="4" w:space="0" w:color="000000"/>
            </w:tcBorders>
            <w:vAlign w:val="center"/>
          </w:tcPr>
          <w:p>
            <w:pPr>
              <w:pStyle w:val="Normal"/>
              <w:rPr>
                <w:rFonts w:eastAsia="ＭＳ ゴシック;MS Gothic"/>
                <w:color w:val="FF0000"/>
                <w:sz w:val="18"/>
              </w:rPr>
            </w:pPr>
            <w:r>
              <w:rPr>
                <w:rFonts w:eastAsia="ＭＳ ゴシック;MS Gothic"/>
                <w:color w:val="FF0000"/>
                <w:sz w:val="18"/>
              </w:rPr>
              <w:t>免責</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ＭＳ ゴシック;MS Gothic"/>
                <w:color w:val="FF0000"/>
                <w:sz w:val="18"/>
              </w:rPr>
            </w:pPr>
            <w:r>
              <w:rPr>
                <w:rFonts w:eastAsia="ＭＳ ゴシック;MS Gothic"/>
                <w:color w:val="FF0000"/>
                <w:sz w:val="18"/>
              </w:rPr>
              <w:t>免責故意重過失</w:t>
            </w:r>
          </w:p>
        </w:tc>
      </w:tr>
      <w:tr>
        <w:trPr>
          <w:trHeight w:val="120" w:hRule="atLeast"/>
        </w:trPr>
        <w:tc>
          <w:tcPr>
            <w:tcW w:w="2863" w:type="dxa"/>
            <w:tcBorders>
              <w:top w:val="single" w:sz="4" w:space="0" w:color="000000"/>
              <w:left w:val="single" w:sz="4" w:space="0" w:color="000000"/>
              <w:bottom w:val="single" w:sz="4" w:space="0" w:color="000000"/>
              <w:right w:val="single" w:sz="4" w:space="0" w:color="000000"/>
            </w:tcBorders>
            <w:vAlign w:val="center"/>
          </w:tcPr>
          <w:p>
            <w:pPr>
              <w:pStyle w:val="Normal"/>
              <w:rPr>
                <w:rFonts w:eastAsia="ＭＳ ゴシック;MS Gothic"/>
                <w:color w:val="FF0000"/>
                <w:sz w:val="18"/>
              </w:rPr>
            </w:pPr>
            <w:r>
              <w:rPr>
                <w:rFonts w:eastAsia="ＭＳ ゴシック;MS Gothic"/>
                <w:color w:val="FF0000"/>
                <w:sz w:val="18"/>
              </w:rPr>
              <w:t>免責（他覚所見）</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ＭＳ ゴシック;MS Gothic"/>
                <w:color w:val="FF0000"/>
                <w:sz w:val="18"/>
              </w:rPr>
            </w:pPr>
            <w:r>
              <w:rPr>
                <w:rFonts w:eastAsia="ＭＳ ゴシック;MS Gothic"/>
                <w:color w:val="FF0000"/>
                <w:sz w:val="18"/>
              </w:rPr>
              <w:t>免責他覚所見無</w:t>
            </w:r>
          </w:p>
        </w:tc>
      </w:tr>
      <w:tr>
        <w:trPr>
          <w:trHeight w:val="150" w:hRule="atLeast"/>
        </w:trPr>
        <w:tc>
          <w:tcPr>
            <w:tcW w:w="2863" w:type="dxa"/>
            <w:tcBorders>
              <w:top w:val="single" w:sz="4" w:space="0" w:color="000000"/>
              <w:left w:val="single" w:sz="4" w:space="0" w:color="000000"/>
              <w:bottom w:val="single" w:sz="4" w:space="0" w:color="000000"/>
              <w:right w:val="single" w:sz="4" w:space="0" w:color="000000"/>
            </w:tcBorders>
            <w:vAlign w:val="center"/>
          </w:tcPr>
          <w:p>
            <w:pPr>
              <w:pStyle w:val="Normal"/>
              <w:rPr>
                <w:rFonts w:eastAsia="ＭＳ ゴシック;MS Gothic"/>
                <w:color w:val="FF0000"/>
                <w:sz w:val="18"/>
              </w:rPr>
            </w:pPr>
            <w:r>
              <w:rPr>
                <w:rFonts w:eastAsia="ＭＳ ゴシック;MS Gothic"/>
                <w:color w:val="FF0000"/>
                <w:sz w:val="18"/>
              </w:rPr>
              <w:t>一般非該当</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ＭＳ ゴシック;MS Gothic"/>
                <w:color w:val="FF0000"/>
                <w:sz w:val="18"/>
              </w:rPr>
            </w:pPr>
            <w:r>
              <w:rPr>
                <w:rFonts w:eastAsia="ＭＳ ゴシック;MS Gothic"/>
                <w:color w:val="FF0000"/>
                <w:sz w:val="18"/>
              </w:rPr>
              <w:t>非該当</w:t>
            </w:r>
          </w:p>
        </w:tc>
      </w:tr>
      <w:tr>
        <w:trPr>
          <w:trHeight w:val="150" w:hRule="atLeast"/>
        </w:trPr>
        <w:tc>
          <w:tcPr>
            <w:tcW w:w="2863" w:type="dxa"/>
            <w:tcBorders>
              <w:top w:val="single" w:sz="4" w:space="0" w:color="000000"/>
              <w:left w:val="single" w:sz="4" w:space="0" w:color="000000"/>
              <w:bottom w:val="single" w:sz="4" w:space="0" w:color="000000"/>
              <w:right w:val="single" w:sz="4" w:space="0" w:color="000000"/>
            </w:tcBorders>
            <w:vAlign w:val="center"/>
          </w:tcPr>
          <w:p>
            <w:pPr>
              <w:pStyle w:val="Normal"/>
              <w:rPr>
                <w:rFonts w:eastAsia="ＭＳ ゴシック;MS Gothic"/>
                <w:color w:val="FF0000"/>
                <w:sz w:val="18"/>
              </w:rPr>
            </w:pPr>
            <w:r>
              <w:rPr>
                <w:rFonts w:eastAsia="ＭＳ ゴシック;MS Gothic"/>
                <w:color w:val="FF0000"/>
                <w:sz w:val="18"/>
              </w:rPr>
              <w:t>請求取下（解約等）</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ＭＳ ゴシック;MS Gothic"/>
                <w:color w:val="FF0000"/>
                <w:sz w:val="18"/>
              </w:rPr>
            </w:pPr>
            <w:r>
              <w:rPr>
                <w:rFonts w:eastAsia="ＭＳ ゴシック;MS Gothic"/>
                <w:color w:val="FF0000"/>
                <w:sz w:val="18"/>
              </w:rPr>
              <w:t>請求取下</w:t>
            </w:r>
          </w:p>
        </w:tc>
      </w:tr>
      <w:tr>
        <w:trPr>
          <w:trHeight w:val="150" w:hRule="atLeast"/>
        </w:trPr>
        <w:tc>
          <w:tcPr>
            <w:tcW w:w="2863" w:type="dxa"/>
            <w:tcBorders>
              <w:top w:val="single" w:sz="4" w:space="0" w:color="000000"/>
              <w:left w:val="single" w:sz="4" w:space="0" w:color="000000"/>
              <w:bottom w:val="single" w:sz="4" w:space="0" w:color="000000"/>
              <w:right w:val="single" w:sz="4" w:space="0" w:color="000000"/>
            </w:tcBorders>
            <w:vAlign w:val="center"/>
          </w:tcPr>
          <w:p>
            <w:pPr>
              <w:pStyle w:val="Normal"/>
              <w:rPr>
                <w:rFonts w:eastAsia="ＭＳ ゴシック;MS Gothic"/>
                <w:color w:val="FF0000"/>
                <w:sz w:val="18"/>
              </w:rPr>
            </w:pPr>
            <w:r>
              <w:rPr>
                <w:rFonts w:eastAsia="ＭＳ ゴシック;MS Gothic"/>
                <w:color w:val="FF0000"/>
                <w:sz w:val="18"/>
              </w:rPr>
              <w:t>障害非該当</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ＭＳ ゴシック;MS Gothic"/>
                <w:color w:val="FF0000"/>
                <w:sz w:val="18"/>
              </w:rPr>
            </w:pPr>
            <w:r>
              <w:rPr>
                <w:rFonts w:eastAsia="ＭＳ ゴシック;MS Gothic"/>
                <w:color w:val="FF0000"/>
                <w:sz w:val="18"/>
              </w:rPr>
              <w:t>障害非該当</w:t>
            </w:r>
          </w:p>
        </w:tc>
      </w:tr>
      <w:tr>
        <w:trPr>
          <w:trHeight w:val="150" w:hRule="atLeast"/>
        </w:trPr>
        <w:tc>
          <w:tcPr>
            <w:tcW w:w="2863" w:type="dxa"/>
            <w:tcBorders>
              <w:top w:val="single" w:sz="4" w:space="0" w:color="000000"/>
              <w:left w:val="single" w:sz="4" w:space="0" w:color="000000"/>
              <w:bottom w:val="single" w:sz="4" w:space="0" w:color="000000"/>
              <w:right w:val="single" w:sz="4" w:space="0" w:color="000000"/>
            </w:tcBorders>
            <w:vAlign w:val="center"/>
          </w:tcPr>
          <w:p>
            <w:pPr>
              <w:pStyle w:val="Normal"/>
              <w:rPr>
                <w:rFonts w:eastAsia="ＭＳ ゴシック;MS Gothic"/>
                <w:color w:val="FF0000"/>
                <w:sz w:val="18"/>
              </w:rPr>
            </w:pPr>
            <w:r>
              <w:rPr>
                <w:rFonts w:eastAsia="ＭＳ ゴシック;MS Gothic"/>
                <w:color w:val="FF0000"/>
                <w:sz w:val="18"/>
              </w:rPr>
              <w:t>詐欺・不法取得目的</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ＭＳ ゴシック;MS Gothic"/>
                <w:color w:val="FF0000"/>
                <w:sz w:val="18"/>
              </w:rPr>
            </w:pPr>
            <w:r>
              <w:rPr>
                <w:rFonts w:eastAsia="ＭＳ ゴシック;MS Gothic"/>
                <w:color w:val="FF0000"/>
                <w:sz w:val="18"/>
              </w:rPr>
              <w:t>詐欺・不法</w:t>
            </w:r>
          </w:p>
        </w:tc>
      </w:tr>
      <w:tr>
        <w:trPr>
          <w:trHeight w:val="150" w:hRule="atLeast"/>
        </w:trPr>
        <w:tc>
          <w:tcPr>
            <w:tcW w:w="2863" w:type="dxa"/>
            <w:tcBorders>
              <w:top w:val="single" w:sz="4" w:space="0" w:color="000000"/>
              <w:left w:val="single" w:sz="4" w:space="0" w:color="000000"/>
              <w:bottom w:val="single" w:sz="4" w:space="0" w:color="000000"/>
              <w:right w:val="single" w:sz="4" w:space="0" w:color="000000"/>
            </w:tcBorders>
            <w:vAlign w:val="center"/>
          </w:tcPr>
          <w:p>
            <w:pPr>
              <w:pStyle w:val="Normal"/>
              <w:rPr>
                <w:rFonts w:eastAsia="ＭＳ ゴシック;MS Gothic"/>
                <w:color w:val="FF0000"/>
                <w:sz w:val="18"/>
              </w:rPr>
            </w:pPr>
            <w:r>
              <w:rPr>
                <w:rFonts w:eastAsia="ＭＳ ゴシック;MS Gothic"/>
                <w:color w:val="FF0000"/>
                <w:sz w:val="18"/>
              </w:rPr>
              <w:t>時効</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ＭＳ ゴシック;MS Gothic"/>
                <w:color w:val="FF0000"/>
                <w:sz w:val="18"/>
              </w:rPr>
            </w:pPr>
            <w:r>
              <w:rPr>
                <w:rFonts w:eastAsia="ＭＳ ゴシック;MS Gothic"/>
                <w:color w:val="FF0000"/>
                <w:sz w:val="18"/>
              </w:rPr>
              <w:t>時効援用</w:t>
            </w:r>
          </w:p>
        </w:tc>
      </w:tr>
      <w:tr>
        <w:trPr>
          <w:trHeight w:val="150" w:hRule="atLeast"/>
        </w:trPr>
        <w:tc>
          <w:tcPr>
            <w:tcW w:w="2863" w:type="dxa"/>
            <w:tcBorders>
              <w:top w:val="single" w:sz="4" w:space="0" w:color="000000"/>
              <w:left w:val="single" w:sz="4" w:space="0" w:color="000000"/>
              <w:bottom w:val="single" w:sz="4" w:space="0" w:color="000000"/>
              <w:right w:val="single" w:sz="4" w:space="0" w:color="000000"/>
            </w:tcBorders>
            <w:vAlign w:val="center"/>
          </w:tcPr>
          <w:p>
            <w:pPr>
              <w:pStyle w:val="Normal"/>
              <w:rPr>
                <w:rFonts w:eastAsia="ＭＳ ゴシック;MS Gothic"/>
                <w:color w:val="FF0000"/>
                <w:sz w:val="18"/>
              </w:rPr>
            </w:pPr>
            <w:r>
              <w:rPr>
                <w:rFonts w:eastAsia="ＭＳ ゴシック;MS Gothic"/>
                <w:color w:val="FF0000"/>
                <w:sz w:val="18"/>
              </w:rPr>
              <w:t>重大事由解除</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ＭＳ ゴシック;MS Gothic"/>
                <w:color w:val="FF0000"/>
                <w:sz w:val="18"/>
              </w:rPr>
            </w:pPr>
            <w:r>
              <w:rPr>
                <w:rFonts w:eastAsia="ＭＳ ゴシック;MS Gothic"/>
                <w:color w:val="FF0000"/>
                <w:sz w:val="18"/>
              </w:rPr>
              <w:t>重大事由解除</w:t>
            </w:r>
          </w:p>
        </w:tc>
      </w:tr>
    </w:tbl>
    <w:p>
      <w:pPr>
        <w:pStyle w:val="Normal"/>
        <w:ind w:left="850" w:right="0"/>
        <w:rPr>
          <w:color w:val="FF0000"/>
          <w:sz w:val="20"/>
        </w:rPr>
      </w:pPr>
      <w:r>
        <w:rPr>
          <w:color w:val="FF0000"/>
          <w:sz w:val="20"/>
        </w:rPr>
      </w:r>
    </w:p>
    <w:p>
      <w:pPr>
        <w:pStyle w:val="Normal"/>
        <w:ind w:left="210" w:right="0"/>
        <w:rPr>
          <w:color w:val="FF0000"/>
          <w:sz w:val="20"/>
        </w:rPr>
      </w:pPr>
      <w:r>
        <w:rPr>
          <w:color w:val="FF0000"/>
          <w:sz w:val="20"/>
        </w:rPr>
      </w:r>
    </w:p>
    <w:p>
      <w:pPr>
        <w:pStyle w:val="Normal"/>
        <w:numPr>
          <w:ilvl w:val="0"/>
          <w:numId w:val="3"/>
        </w:numPr>
        <w:rPr>
          <w:color w:val="FF0000"/>
          <w:sz w:val="20"/>
        </w:rPr>
      </w:pPr>
      <w:r>
        <w:rPr>
          <w:color w:val="FF0000"/>
          <w:sz w:val="20"/>
        </w:rPr>
        <w:t>「不払」とする場合でかつＩＷＦ不払入力を行わない場合（簡易起案支払等）、「不払集計票・入力依頼表」を確認査定Ｔで管理し、個別に不払集計へ算入する。</w:t>
      </w:r>
    </w:p>
    <w:p>
      <w:pPr>
        <w:pStyle w:val="Normal"/>
        <w:numPr>
          <w:ilvl w:val="0"/>
          <w:numId w:val="3"/>
        </w:numPr>
        <w:rPr>
          <w:color w:val="FF0000"/>
          <w:sz w:val="20"/>
        </w:rPr>
      </w:pPr>
      <w:r>
        <w:rPr>
          <w:color w:val="FF0000"/>
          <w:sz w:val="20"/>
        </w:rPr>
        <w:t>「モラル」にて外泊控除を行う場合も、実務ではＩＷＦ不払入力は行わないことから、「不払集計票・入力依頼表」を確認査定Ｔで管理し、個別に不払集計へ算入する。</w:t>
      </w:r>
    </w:p>
    <w:p>
      <w:pPr>
        <w:pStyle w:val="Normal"/>
        <w:ind w:left="630" w:right="0"/>
        <w:rPr>
          <w:color w:val="FF0000"/>
          <w:sz w:val="20"/>
        </w:rPr>
      </w:pPr>
      <w:r>
        <w:rPr>
          <w:color w:val="FF0000"/>
          <w:sz w:val="20"/>
        </w:rPr>
      </w:r>
    </w:p>
    <w:p>
      <w:pPr>
        <w:pStyle w:val="Normal"/>
        <w:ind w:left="630" w:right="0"/>
        <w:rPr>
          <w:sz w:val="20"/>
        </w:rPr>
      </w:pPr>
      <w:r>
        <w:rPr>
          <w:sz w:val="20"/>
        </w:rPr>
      </w:r>
    </w:p>
    <w:p>
      <w:pPr>
        <w:pStyle w:val="Normal"/>
        <w:rPr>
          <w:sz w:val="20"/>
        </w:rPr>
      </w:pPr>
      <w:r>
        <w:rPr>
          <w:sz w:val="20"/>
        </w:rPr>
        <w:t>（参考）</w:t>
      </w:r>
    </w:p>
    <w:p>
      <w:pPr>
        <w:pStyle w:val="Normal"/>
        <w:rPr>
          <w:sz w:val="20"/>
        </w:rPr>
      </w:pPr>
      <w:r>
        <w:rPr>
          <w:sz w:val="20"/>
        </w:rPr>
        <w:t>【不払理由一覧（数字はコード）】</w:t>
      </w:r>
    </w:p>
    <w:tbl>
      <w:tblPr>
        <w:tblW w:w="10109" w:type="dxa"/>
        <w:jc w:val="left"/>
        <w:tblInd w:w="210" w:type="dxa"/>
        <w:tblLayout w:type="fixed"/>
        <w:tblCellMar>
          <w:top w:w="0" w:type="dxa"/>
          <w:left w:w="108" w:type="dxa"/>
          <w:bottom w:w="0" w:type="dxa"/>
          <w:right w:w="108" w:type="dxa"/>
        </w:tblCellMar>
      </w:tblPr>
      <w:tblGrid>
        <w:gridCol w:w="746"/>
        <w:gridCol w:w="2591"/>
        <w:gridCol w:w="876"/>
        <w:gridCol w:w="2552"/>
        <w:gridCol w:w="815"/>
        <w:gridCol w:w="2520"/>
        <w:gridCol w:w="9"/>
      </w:tblGrid>
      <w:tr>
        <w:trPr/>
        <w:tc>
          <w:tcPr>
            <w:tcW w:w="746" w:type="dxa"/>
            <w:tcBorders>
              <w:top w:val="single" w:sz="4" w:space="0" w:color="000000"/>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001</w:t>
            </w:r>
          </w:p>
        </w:tc>
        <w:tc>
          <w:tcPr>
            <w:tcW w:w="2591" w:type="dxa"/>
            <w:tcBorders>
              <w:top w:val="single" w:sz="4" w:space="0" w:color="000000"/>
              <w:left w:val="single" w:sz="4" w:space="0" w:color="000000"/>
              <w:bottom w:val="single" w:sz="4" w:space="0" w:color="000000"/>
              <w:right w:val="single" w:sz="4" w:space="0" w:color="000000"/>
            </w:tcBorders>
            <w:vAlign w:val="center"/>
          </w:tcPr>
          <w:p>
            <w:pPr>
              <w:pStyle w:val="Normal"/>
              <w:rPr>
                <w:sz w:val="20"/>
              </w:rPr>
            </w:pPr>
            <w:r>
              <w:rPr>
                <w:color w:val="000000"/>
                <w:sz w:val="22"/>
                <w:szCs w:val="22"/>
              </w:rPr>
              <w:t>180</w:t>
            </w:r>
            <w:r>
              <w:rPr>
                <w:color w:val="000000"/>
                <w:sz w:val="22"/>
                <w:szCs w:val="22"/>
              </w:rPr>
              <w:t>日超</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021</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重大事由解除</w:t>
            </w:r>
          </w:p>
        </w:tc>
        <w:tc>
          <w:tcPr>
            <w:tcW w:w="815" w:type="dxa"/>
            <w:tcBorders>
              <w:top w:val="single" w:sz="4" w:space="0" w:color="000000"/>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041</w:t>
            </w:r>
          </w:p>
        </w:tc>
        <w:tc>
          <w:tcPr>
            <w:tcW w:w="2529" w:type="dxa"/>
            <w:tcBorders>
              <w:top w:val="single" w:sz="4" w:space="0" w:color="000000"/>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非該当</w:t>
            </w:r>
          </w:p>
        </w:tc>
      </w:tr>
      <w:tr>
        <w:trPr/>
        <w:tc>
          <w:tcPr>
            <w:tcW w:w="746"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002</w:t>
            </w:r>
          </w:p>
        </w:tc>
        <w:tc>
          <w:tcPr>
            <w:tcW w:w="2591" w:type="dxa"/>
            <w:tcBorders>
              <w:left w:val="single" w:sz="4" w:space="0" w:color="000000"/>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１回限り</w:t>
            </w:r>
          </w:p>
        </w:tc>
        <w:tc>
          <w:tcPr>
            <w:tcW w:w="876"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022</w:t>
            </w:r>
          </w:p>
        </w:tc>
        <w:tc>
          <w:tcPr>
            <w:tcW w:w="2552" w:type="dxa"/>
            <w:tcBorders>
              <w:left w:val="single" w:sz="4" w:space="0" w:color="000000"/>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出産責開前</w:t>
            </w:r>
          </w:p>
        </w:tc>
        <w:tc>
          <w:tcPr>
            <w:tcW w:w="815"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042</w:t>
            </w:r>
          </w:p>
        </w:tc>
        <w:tc>
          <w:tcPr>
            <w:tcW w:w="2529" w:type="dxa"/>
            <w:tcBorders>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非災害</w:t>
            </w:r>
          </w:p>
        </w:tc>
      </w:tr>
      <w:tr>
        <w:trPr/>
        <w:tc>
          <w:tcPr>
            <w:tcW w:w="746"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003</w:t>
            </w:r>
          </w:p>
        </w:tc>
        <w:tc>
          <w:tcPr>
            <w:tcW w:w="2591" w:type="dxa"/>
            <w:tcBorders>
              <w:left w:val="single" w:sz="4" w:space="0" w:color="000000"/>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２年以内</w:t>
            </w:r>
          </w:p>
        </w:tc>
        <w:tc>
          <w:tcPr>
            <w:tcW w:w="876"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023</w:t>
            </w:r>
          </w:p>
        </w:tc>
        <w:tc>
          <w:tcPr>
            <w:tcW w:w="2552" w:type="dxa"/>
            <w:tcBorders>
              <w:left w:val="single" w:sz="4" w:space="0" w:color="000000"/>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消滅後</w:t>
            </w:r>
          </w:p>
        </w:tc>
        <w:tc>
          <w:tcPr>
            <w:tcW w:w="815"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043</w:t>
            </w:r>
          </w:p>
        </w:tc>
        <w:tc>
          <w:tcPr>
            <w:tcW w:w="2529" w:type="dxa"/>
            <w:tcBorders>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部位不担保</w:t>
            </w:r>
          </w:p>
        </w:tc>
      </w:tr>
      <w:tr>
        <w:trPr/>
        <w:tc>
          <w:tcPr>
            <w:tcW w:w="746"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004</w:t>
            </w:r>
          </w:p>
        </w:tc>
        <w:tc>
          <w:tcPr>
            <w:tcW w:w="2591" w:type="dxa"/>
            <w:tcBorders>
              <w:left w:val="single" w:sz="4" w:space="0" w:color="000000"/>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悪性非該当</w:t>
            </w:r>
          </w:p>
        </w:tc>
        <w:tc>
          <w:tcPr>
            <w:tcW w:w="876"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024</w:t>
            </w:r>
          </w:p>
        </w:tc>
        <w:tc>
          <w:tcPr>
            <w:tcW w:w="2552" w:type="dxa"/>
            <w:tcBorders>
              <w:left w:val="single" w:sz="4" w:space="0" w:color="000000"/>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請求取下</w:t>
            </w:r>
          </w:p>
        </w:tc>
        <w:tc>
          <w:tcPr>
            <w:tcW w:w="815"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044</w:t>
            </w:r>
          </w:p>
        </w:tc>
        <w:tc>
          <w:tcPr>
            <w:tcW w:w="2529" w:type="dxa"/>
            <w:tcBorders>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他・複数</w:t>
            </w:r>
          </w:p>
        </w:tc>
      </w:tr>
      <w:tr>
        <w:trPr/>
        <w:tc>
          <w:tcPr>
            <w:tcW w:w="746"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005</w:t>
            </w:r>
          </w:p>
        </w:tc>
        <w:tc>
          <w:tcPr>
            <w:tcW w:w="2591" w:type="dxa"/>
            <w:tcBorders>
              <w:left w:val="single" w:sz="4" w:space="0" w:color="000000"/>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該当確認要</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025</w:t>
            </w:r>
          </w:p>
        </w:tc>
        <w:tc>
          <w:tcPr>
            <w:tcW w:w="2552" w:type="dxa"/>
            <w:tcBorders>
              <w:top w:val="single" w:sz="4" w:space="0" w:color="000000"/>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制限日数内</w:t>
            </w:r>
          </w:p>
        </w:tc>
        <w:tc>
          <w:tcPr>
            <w:tcW w:w="815"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045</w:t>
            </w:r>
          </w:p>
        </w:tc>
        <w:tc>
          <w:tcPr>
            <w:tcW w:w="2529" w:type="dxa"/>
            <w:tcBorders>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未固定</w:t>
            </w:r>
          </w:p>
        </w:tc>
      </w:tr>
      <w:tr>
        <w:trPr/>
        <w:tc>
          <w:tcPr>
            <w:tcW w:w="746"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006</w:t>
            </w:r>
          </w:p>
        </w:tc>
        <w:tc>
          <w:tcPr>
            <w:tcW w:w="2591" w:type="dxa"/>
            <w:tcBorders>
              <w:left w:val="single" w:sz="4" w:space="0" w:color="000000"/>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外来扱</w:t>
            </w:r>
          </w:p>
        </w:tc>
        <w:tc>
          <w:tcPr>
            <w:tcW w:w="876"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026</w:t>
            </w:r>
          </w:p>
        </w:tc>
        <w:tc>
          <w:tcPr>
            <w:tcW w:w="2552" w:type="dxa"/>
            <w:tcBorders>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sz w:val="22"/>
                <w:szCs w:val="22"/>
              </w:rPr>
              <w:t>責前非該当</w:t>
            </w:r>
          </w:p>
        </w:tc>
        <w:tc>
          <w:tcPr>
            <w:tcW w:w="815"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046</w:t>
            </w:r>
          </w:p>
        </w:tc>
        <w:tc>
          <w:tcPr>
            <w:tcW w:w="2529" w:type="dxa"/>
            <w:tcBorders>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－（削除）</w:t>
            </w:r>
          </w:p>
        </w:tc>
      </w:tr>
      <w:tr>
        <w:trPr/>
        <w:tc>
          <w:tcPr>
            <w:tcW w:w="746"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007</w:t>
            </w:r>
          </w:p>
        </w:tc>
        <w:tc>
          <w:tcPr>
            <w:tcW w:w="2591" w:type="dxa"/>
            <w:tcBorders>
              <w:left w:val="single" w:sz="4" w:space="0" w:color="000000"/>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過去不払</w:t>
            </w:r>
          </w:p>
        </w:tc>
        <w:tc>
          <w:tcPr>
            <w:tcW w:w="876"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027</w:t>
            </w:r>
          </w:p>
        </w:tc>
        <w:tc>
          <w:tcPr>
            <w:tcW w:w="2552" w:type="dxa"/>
            <w:tcBorders>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責前支払事由</w:t>
            </w:r>
          </w:p>
        </w:tc>
        <w:tc>
          <w:tcPr>
            <w:tcW w:w="815"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047</w:t>
            </w:r>
          </w:p>
        </w:tc>
        <w:tc>
          <w:tcPr>
            <w:tcW w:w="2529" w:type="dxa"/>
            <w:tcBorders>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モラル・不必要</w:t>
            </w:r>
          </w:p>
        </w:tc>
      </w:tr>
      <w:tr>
        <w:trPr/>
        <w:tc>
          <w:tcPr>
            <w:tcW w:w="746"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008</w:t>
            </w:r>
          </w:p>
        </w:tc>
        <w:tc>
          <w:tcPr>
            <w:tcW w:w="2591" w:type="dxa"/>
            <w:tcBorders>
              <w:left w:val="single" w:sz="4" w:space="0" w:color="000000"/>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がん責開前</w:t>
            </w:r>
          </w:p>
        </w:tc>
        <w:tc>
          <w:tcPr>
            <w:tcW w:w="876"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028</w:t>
            </w:r>
          </w:p>
        </w:tc>
        <w:tc>
          <w:tcPr>
            <w:tcW w:w="2552" w:type="dxa"/>
            <w:tcBorders>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線量未達</w:t>
            </w:r>
          </w:p>
        </w:tc>
        <w:tc>
          <w:tcPr>
            <w:tcW w:w="815"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048</w:t>
            </w:r>
          </w:p>
        </w:tc>
        <w:tc>
          <w:tcPr>
            <w:tcW w:w="2529" w:type="dxa"/>
            <w:tcBorders>
              <w:bottom w:val="single" w:sz="4" w:space="0" w:color="000000"/>
              <w:right w:val="single" w:sz="4" w:space="0" w:color="000000"/>
            </w:tcBorders>
            <w:vAlign w:val="center"/>
          </w:tcPr>
          <w:p>
            <w:pPr>
              <w:pStyle w:val="Normal"/>
              <w:rPr>
                <w:sz w:val="20"/>
              </w:rPr>
            </w:pPr>
            <w:r>
              <w:rPr>
                <w:color w:val="000000"/>
                <w:sz w:val="22"/>
                <w:szCs w:val="22"/>
              </w:rPr>
              <w:t>入院</w:t>
            </w:r>
            <w:r>
              <w:rPr>
                <w:color w:val="000000"/>
                <w:sz w:val="22"/>
                <w:szCs w:val="22"/>
              </w:rPr>
              <w:t>20</w:t>
            </w:r>
            <w:r>
              <w:rPr>
                <w:color w:val="000000"/>
                <w:sz w:val="22"/>
                <w:szCs w:val="22"/>
              </w:rPr>
              <w:t>日未満</w:t>
            </w:r>
          </w:p>
        </w:tc>
      </w:tr>
      <w:tr>
        <w:trPr/>
        <w:tc>
          <w:tcPr>
            <w:tcW w:w="746" w:type="dxa"/>
            <w:tcBorders>
              <w:top w:val="single" w:sz="4" w:space="0" w:color="000000"/>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009</w:t>
            </w:r>
          </w:p>
        </w:tc>
        <w:tc>
          <w:tcPr>
            <w:tcW w:w="2591" w:type="dxa"/>
            <w:tcBorders>
              <w:top w:val="single" w:sz="4" w:space="0" w:color="000000"/>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がん不担保</w:t>
            </w:r>
          </w:p>
        </w:tc>
        <w:tc>
          <w:tcPr>
            <w:tcW w:w="87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029</w:t>
            </w:r>
          </w:p>
        </w:tc>
        <w:tc>
          <w:tcPr>
            <w:tcW w:w="2552" w:type="dxa"/>
            <w:tcBorders>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対象外技術</w:t>
            </w:r>
          </w:p>
        </w:tc>
        <w:tc>
          <w:tcPr>
            <w:tcW w:w="815"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sz w:val="22"/>
                <w:szCs w:val="22"/>
              </w:rPr>
              <w:t>049</w:t>
            </w:r>
          </w:p>
        </w:tc>
        <w:tc>
          <w:tcPr>
            <w:tcW w:w="2529" w:type="dxa"/>
            <w:tcBorders>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sz w:val="22"/>
                <w:szCs w:val="22"/>
              </w:rPr>
              <w:t>無効復旧</w:t>
            </w:r>
          </w:p>
        </w:tc>
      </w:tr>
      <w:tr>
        <w:trPr/>
        <w:tc>
          <w:tcPr>
            <w:tcW w:w="74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010</w:t>
            </w:r>
          </w:p>
        </w:tc>
        <w:tc>
          <w:tcPr>
            <w:tcW w:w="2591"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がん無効</w:t>
            </w:r>
          </w:p>
        </w:tc>
        <w:tc>
          <w:tcPr>
            <w:tcW w:w="87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030</w:t>
            </w:r>
          </w:p>
        </w:tc>
        <w:tc>
          <w:tcPr>
            <w:tcW w:w="2552" w:type="dxa"/>
            <w:tcBorders>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対象外施設</w:t>
            </w:r>
          </w:p>
        </w:tc>
        <w:tc>
          <w:tcPr>
            <w:tcW w:w="815"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sz w:val="22"/>
                <w:szCs w:val="22"/>
              </w:rPr>
              <w:t>050</w:t>
            </w:r>
          </w:p>
        </w:tc>
        <w:tc>
          <w:tcPr>
            <w:tcW w:w="2529" w:type="dxa"/>
            <w:tcBorders>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sz w:val="22"/>
                <w:szCs w:val="22"/>
              </w:rPr>
              <w:t>解除（告反）</w:t>
            </w:r>
          </w:p>
        </w:tc>
      </w:tr>
      <w:tr>
        <w:trPr/>
        <w:tc>
          <w:tcPr>
            <w:tcW w:w="74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011</w:t>
            </w:r>
          </w:p>
        </w:tc>
        <w:tc>
          <w:tcPr>
            <w:tcW w:w="2591"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期間未達</w:t>
            </w:r>
          </w:p>
        </w:tc>
        <w:tc>
          <w:tcPr>
            <w:tcW w:w="87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031</w:t>
            </w:r>
          </w:p>
        </w:tc>
        <w:tc>
          <w:tcPr>
            <w:tcW w:w="2552" w:type="dxa"/>
            <w:tcBorders>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治療目的外</w:t>
            </w:r>
          </w:p>
        </w:tc>
        <w:tc>
          <w:tcPr>
            <w:tcW w:w="815"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sz w:val="22"/>
                <w:szCs w:val="22"/>
              </w:rPr>
              <w:t>051</w:t>
            </w:r>
          </w:p>
        </w:tc>
        <w:tc>
          <w:tcPr>
            <w:tcW w:w="2529" w:type="dxa"/>
            <w:tcBorders>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sz w:val="22"/>
                <w:szCs w:val="22"/>
              </w:rPr>
              <w:t>解除復旧</w:t>
            </w:r>
          </w:p>
        </w:tc>
      </w:tr>
      <w:tr>
        <w:trPr/>
        <w:tc>
          <w:tcPr>
            <w:tcW w:w="74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012</w:t>
            </w:r>
          </w:p>
        </w:tc>
        <w:tc>
          <w:tcPr>
            <w:tcW w:w="2591"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既給前</w:t>
            </w:r>
          </w:p>
        </w:tc>
        <w:tc>
          <w:tcPr>
            <w:tcW w:w="87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032</w:t>
            </w:r>
          </w:p>
        </w:tc>
        <w:tc>
          <w:tcPr>
            <w:tcW w:w="2552" w:type="dxa"/>
            <w:tcBorders>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通院期間外</w:t>
            </w:r>
          </w:p>
        </w:tc>
        <w:tc>
          <w:tcPr>
            <w:tcW w:w="815"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sz w:val="22"/>
                <w:szCs w:val="22"/>
              </w:rPr>
              <w:t>052</w:t>
            </w:r>
          </w:p>
        </w:tc>
        <w:tc>
          <w:tcPr>
            <w:tcW w:w="2529" w:type="dxa"/>
            <w:tcBorders>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sz w:val="22"/>
                <w:szCs w:val="22"/>
              </w:rPr>
              <w:t>免責故意重過失</w:t>
            </w:r>
          </w:p>
        </w:tc>
      </w:tr>
      <w:tr>
        <w:trPr/>
        <w:tc>
          <w:tcPr>
            <w:tcW w:w="74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013</w:t>
            </w:r>
          </w:p>
        </w:tc>
        <w:tc>
          <w:tcPr>
            <w:tcW w:w="2591"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既存同級</w:t>
            </w:r>
          </w:p>
        </w:tc>
        <w:tc>
          <w:tcPr>
            <w:tcW w:w="87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033</w:t>
            </w:r>
          </w:p>
        </w:tc>
        <w:tc>
          <w:tcPr>
            <w:tcW w:w="2552" w:type="dxa"/>
            <w:tcBorders>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通算限度</w:t>
            </w:r>
          </w:p>
        </w:tc>
        <w:tc>
          <w:tcPr>
            <w:tcW w:w="815"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sz w:val="22"/>
                <w:szCs w:val="22"/>
              </w:rPr>
              <w:t>053</w:t>
            </w:r>
          </w:p>
        </w:tc>
        <w:tc>
          <w:tcPr>
            <w:tcW w:w="2529" w:type="dxa"/>
            <w:tcBorders>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sz w:val="22"/>
                <w:szCs w:val="22"/>
              </w:rPr>
              <w:t>免責他覚所見無</w:t>
            </w:r>
          </w:p>
        </w:tc>
      </w:tr>
      <w:tr>
        <w:trPr/>
        <w:tc>
          <w:tcPr>
            <w:tcW w:w="746" w:type="dxa"/>
            <w:tcBorders>
              <w:top w:val="single" w:sz="4" w:space="0" w:color="000000"/>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014</w:t>
            </w:r>
          </w:p>
        </w:tc>
        <w:tc>
          <w:tcPr>
            <w:tcW w:w="2591"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原因複数</w:t>
            </w:r>
          </w:p>
        </w:tc>
        <w:tc>
          <w:tcPr>
            <w:tcW w:w="87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034</w:t>
            </w:r>
          </w:p>
        </w:tc>
        <w:tc>
          <w:tcPr>
            <w:tcW w:w="2552" w:type="dxa"/>
            <w:tcBorders>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同一限度</w:t>
            </w:r>
          </w:p>
        </w:tc>
        <w:tc>
          <w:tcPr>
            <w:tcW w:w="815" w:type="dxa"/>
            <w:tcBorders>
              <w:left w:val="single" w:sz="4" w:space="0" w:color="000000"/>
              <w:bottom w:val="single" w:sz="4" w:space="0" w:color="000000"/>
              <w:right w:val="single" w:sz="4" w:space="0" w:color="000000"/>
            </w:tcBorders>
            <w:vAlign w:val="center"/>
          </w:tcPr>
          <w:p>
            <w:pPr>
              <w:pStyle w:val="Normal"/>
              <w:snapToGrid w:val="false"/>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r>
          </w:p>
        </w:tc>
        <w:tc>
          <w:tcPr>
            <w:tcW w:w="2529" w:type="dxa"/>
            <w:tcBorders>
              <w:left w:val="single" w:sz="4" w:space="0" w:color="000000"/>
              <w:bottom w:val="single" w:sz="4" w:space="0" w:color="000000"/>
              <w:right w:val="single" w:sz="4" w:space="0" w:color="000000"/>
            </w:tcBorders>
            <w:vAlign w:val="center"/>
          </w:tcPr>
          <w:p>
            <w:pPr>
              <w:pStyle w:val="Normal"/>
              <w:snapToGrid w:val="false"/>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r>
          </w:p>
        </w:tc>
      </w:tr>
      <w:tr>
        <w:trPr/>
        <w:tc>
          <w:tcPr>
            <w:tcW w:w="74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015</w:t>
            </w:r>
          </w:p>
        </w:tc>
        <w:tc>
          <w:tcPr>
            <w:tcW w:w="2591"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控除＞給付</w:t>
            </w:r>
          </w:p>
        </w:tc>
        <w:tc>
          <w:tcPr>
            <w:tcW w:w="87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035</w:t>
            </w:r>
          </w:p>
        </w:tc>
        <w:tc>
          <w:tcPr>
            <w:tcW w:w="2552" w:type="dxa"/>
            <w:tcBorders>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同一事故</w:t>
            </w:r>
          </w:p>
        </w:tc>
        <w:tc>
          <w:tcPr>
            <w:tcW w:w="815" w:type="dxa"/>
            <w:tcBorders>
              <w:left w:val="single" w:sz="4" w:space="0" w:color="000000"/>
              <w:bottom w:val="single" w:sz="4" w:space="0" w:color="000000"/>
              <w:right w:val="single" w:sz="4" w:space="0" w:color="000000"/>
            </w:tcBorders>
            <w:vAlign w:val="center"/>
          </w:tcPr>
          <w:p>
            <w:pPr>
              <w:pStyle w:val="Normal"/>
              <w:snapToGrid w:val="false"/>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r>
          </w:p>
        </w:tc>
        <w:tc>
          <w:tcPr>
            <w:tcW w:w="2529" w:type="dxa"/>
            <w:tcBorders>
              <w:left w:val="single" w:sz="4" w:space="0" w:color="000000"/>
              <w:bottom w:val="single" w:sz="4" w:space="0" w:color="000000"/>
              <w:right w:val="single" w:sz="4" w:space="0" w:color="000000"/>
            </w:tcBorders>
            <w:vAlign w:val="center"/>
          </w:tcPr>
          <w:p>
            <w:pPr>
              <w:pStyle w:val="Normal"/>
              <w:snapToGrid w:val="false"/>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r>
          </w:p>
        </w:tc>
      </w:tr>
      <w:tr>
        <w:trPr/>
        <w:tc>
          <w:tcPr>
            <w:tcW w:w="74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016</w:t>
            </w:r>
          </w:p>
        </w:tc>
        <w:tc>
          <w:tcPr>
            <w:tcW w:w="2591"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更新前</w:t>
            </w:r>
          </w:p>
        </w:tc>
        <w:tc>
          <w:tcPr>
            <w:tcW w:w="87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036</w:t>
            </w:r>
          </w:p>
        </w:tc>
        <w:tc>
          <w:tcPr>
            <w:tcW w:w="2552" w:type="dxa"/>
            <w:tcBorders>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同日手術</w:t>
            </w:r>
          </w:p>
        </w:tc>
        <w:tc>
          <w:tcPr>
            <w:tcW w:w="815" w:type="dxa"/>
            <w:tcBorders>
              <w:left w:val="single" w:sz="4" w:space="0" w:color="000000"/>
              <w:bottom w:val="single" w:sz="4" w:space="0" w:color="000000"/>
              <w:right w:val="single" w:sz="4" w:space="0" w:color="000000"/>
            </w:tcBorders>
            <w:vAlign w:val="center"/>
          </w:tcPr>
          <w:p>
            <w:pPr>
              <w:pStyle w:val="Normal"/>
              <w:snapToGrid w:val="false"/>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r>
          </w:p>
        </w:tc>
        <w:tc>
          <w:tcPr>
            <w:tcW w:w="2529" w:type="dxa"/>
            <w:tcBorders>
              <w:left w:val="single" w:sz="4" w:space="0" w:color="000000"/>
              <w:bottom w:val="single" w:sz="4" w:space="0" w:color="000000"/>
              <w:right w:val="single" w:sz="4" w:space="0" w:color="000000"/>
            </w:tcBorders>
            <w:vAlign w:val="center"/>
          </w:tcPr>
          <w:p>
            <w:pPr>
              <w:pStyle w:val="Normal"/>
              <w:snapToGrid w:val="false"/>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r>
          </w:p>
        </w:tc>
      </w:tr>
      <w:tr>
        <w:trPr/>
        <w:tc>
          <w:tcPr>
            <w:tcW w:w="746" w:type="dxa"/>
            <w:tcBorders>
              <w:top w:val="single" w:sz="4" w:space="0" w:color="000000"/>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017</w:t>
            </w:r>
          </w:p>
        </w:tc>
        <w:tc>
          <w:tcPr>
            <w:tcW w:w="2591" w:type="dxa"/>
            <w:tcBorders>
              <w:top w:val="single" w:sz="4" w:space="0" w:color="000000"/>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詐欺・不法</w:t>
            </w:r>
          </w:p>
        </w:tc>
        <w:tc>
          <w:tcPr>
            <w:tcW w:w="87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037</w:t>
            </w:r>
          </w:p>
        </w:tc>
        <w:tc>
          <w:tcPr>
            <w:tcW w:w="2552" w:type="dxa"/>
            <w:tcBorders>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同日複数</w:t>
            </w:r>
          </w:p>
        </w:tc>
        <w:tc>
          <w:tcPr>
            <w:tcW w:w="815" w:type="dxa"/>
            <w:tcBorders>
              <w:left w:val="single" w:sz="4" w:space="0" w:color="000000"/>
              <w:bottom w:val="single" w:sz="4" w:space="0" w:color="000000"/>
              <w:right w:val="single" w:sz="4" w:space="0" w:color="000000"/>
            </w:tcBorders>
            <w:vAlign w:val="center"/>
          </w:tcPr>
          <w:p>
            <w:pPr>
              <w:pStyle w:val="Normal"/>
              <w:snapToGrid w:val="false"/>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r>
          </w:p>
        </w:tc>
        <w:tc>
          <w:tcPr>
            <w:tcW w:w="2529" w:type="dxa"/>
            <w:tcBorders>
              <w:left w:val="single" w:sz="4" w:space="0" w:color="000000"/>
              <w:bottom w:val="single" w:sz="4" w:space="0" w:color="000000"/>
              <w:right w:val="single" w:sz="4" w:space="0" w:color="000000"/>
            </w:tcBorders>
            <w:vAlign w:val="center"/>
          </w:tcPr>
          <w:p>
            <w:pPr>
              <w:pStyle w:val="Normal"/>
              <w:snapToGrid w:val="false"/>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r>
          </w:p>
        </w:tc>
      </w:tr>
      <w:tr>
        <w:trPr/>
        <w:tc>
          <w:tcPr>
            <w:tcW w:w="74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018</w:t>
            </w:r>
          </w:p>
        </w:tc>
        <w:tc>
          <w:tcPr>
            <w:tcW w:w="2591"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時効援用</w:t>
            </w:r>
          </w:p>
        </w:tc>
        <w:tc>
          <w:tcPr>
            <w:tcW w:w="87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038</w:t>
            </w:r>
          </w:p>
        </w:tc>
        <w:tc>
          <w:tcPr>
            <w:tcW w:w="2552" w:type="dxa"/>
            <w:tcBorders>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日数未達</w:t>
            </w:r>
          </w:p>
        </w:tc>
        <w:tc>
          <w:tcPr>
            <w:tcW w:w="815" w:type="dxa"/>
            <w:tcBorders>
              <w:left w:val="single" w:sz="4" w:space="0" w:color="000000"/>
              <w:bottom w:val="single" w:sz="4" w:space="0" w:color="000000"/>
              <w:right w:val="single" w:sz="4" w:space="0" w:color="000000"/>
            </w:tcBorders>
            <w:vAlign w:val="center"/>
          </w:tcPr>
          <w:p>
            <w:pPr>
              <w:pStyle w:val="Normal"/>
              <w:snapToGrid w:val="false"/>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r>
          </w:p>
        </w:tc>
        <w:tc>
          <w:tcPr>
            <w:tcW w:w="2529" w:type="dxa"/>
            <w:tcBorders>
              <w:left w:val="single" w:sz="4" w:space="0" w:color="000000"/>
              <w:bottom w:val="single" w:sz="4" w:space="0" w:color="000000"/>
              <w:right w:val="single" w:sz="4" w:space="0" w:color="000000"/>
            </w:tcBorders>
            <w:vAlign w:val="center"/>
          </w:tcPr>
          <w:p>
            <w:pPr>
              <w:pStyle w:val="Normal"/>
              <w:snapToGrid w:val="false"/>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r>
          </w:p>
        </w:tc>
      </w:tr>
      <w:tr>
        <w:trPr/>
        <w:tc>
          <w:tcPr>
            <w:tcW w:w="74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019</w:t>
            </w:r>
          </w:p>
        </w:tc>
        <w:tc>
          <w:tcPr>
            <w:tcW w:w="2591"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失効中</w:t>
            </w:r>
          </w:p>
        </w:tc>
        <w:tc>
          <w:tcPr>
            <w:tcW w:w="876" w:type="dxa"/>
            <w:tcBorders>
              <w:left w:val="single" w:sz="4" w:space="0" w:color="000000"/>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t>039</w:t>
            </w:r>
          </w:p>
        </w:tc>
        <w:tc>
          <w:tcPr>
            <w:tcW w:w="2552" w:type="dxa"/>
            <w:tcBorders>
              <w:bottom w:val="single" w:sz="4" w:space="0" w:color="000000"/>
              <w:right w:val="single" w:sz="4" w:space="0" w:color="000000"/>
            </w:tcBorders>
            <w:vAlign w:val="center"/>
          </w:tcPr>
          <w:p>
            <w:pPr>
              <w:pStyle w:val="Normal"/>
              <w:rPr>
                <w:rFonts w:ascii="ＭＳ ゴシック;MS Gothic" w:hAnsi="ＭＳ ゴシック;MS Gothic" w:eastAsia="ＭＳ ゴシック;MS Gothic" w:cs="ＭＳ ゴシック;MS Gothic"/>
                <w:color w:val="000000"/>
                <w:sz w:val="22"/>
                <w:szCs w:val="22"/>
              </w:rPr>
            </w:pPr>
            <w:r>
              <w:rPr>
                <w:rFonts w:ascii="ＭＳ ゴシック;MS Gothic" w:hAnsi="ＭＳ ゴシック;MS Gothic" w:cs="ＭＳ ゴシック;MS Gothic" w:eastAsia="ＭＳ ゴシック;MS Gothic"/>
                <w:color w:val="000000"/>
                <w:sz w:val="22"/>
                <w:szCs w:val="22"/>
              </w:rPr>
              <w:t>入院扱</w:t>
            </w:r>
          </w:p>
        </w:tc>
        <w:tc>
          <w:tcPr>
            <w:tcW w:w="815" w:type="dxa"/>
            <w:tcBorders>
              <w:left w:val="single" w:sz="4" w:space="0" w:color="000000"/>
              <w:bottom w:val="single" w:sz="4" w:space="0" w:color="000000"/>
              <w:right w:val="single" w:sz="4" w:space="0" w:color="000000"/>
            </w:tcBorders>
            <w:vAlign w:val="center"/>
          </w:tcPr>
          <w:p>
            <w:pPr>
              <w:pStyle w:val="Normal"/>
              <w:snapToGrid w:val="false"/>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r>
          </w:p>
        </w:tc>
        <w:tc>
          <w:tcPr>
            <w:tcW w:w="2529" w:type="dxa"/>
            <w:tcBorders>
              <w:left w:val="single" w:sz="4" w:space="0" w:color="000000"/>
              <w:bottom w:val="single" w:sz="4" w:space="0" w:color="000000"/>
              <w:right w:val="single" w:sz="4" w:space="0" w:color="000000"/>
            </w:tcBorders>
            <w:vAlign w:val="center"/>
          </w:tcPr>
          <w:p>
            <w:pPr>
              <w:pStyle w:val="Normal"/>
              <w:snapToGrid w:val="false"/>
              <w:rPr>
                <w:rFonts w:ascii="ＭＳ ゴシック;MS Gothic" w:hAnsi="ＭＳ ゴシック;MS Gothic" w:eastAsia="ＭＳ ゴシック;MS Gothic" w:cs="ＭＳ ゴシック;MS Gothic"/>
                <w:color w:val="000000"/>
                <w:sz w:val="22"/>
                <w:szCs w:val="22"/>
              </w:rPr>
            </w:pPr>
            <w:r>
              <w:rPr>
                <w:rFonts w:eastAsia="ＭＳ ゴシック;MS Gothic" w:cs="ＭＳ ゴシック;MS Gothic" w:ascii="ＭＳ ゴシック;MS Gothic" w:hAnsi="ＭＳ ゴシック;MS Gothic"/>
                <w:color w:val="000000"/>
                <w:sz w:val="22"/>
                <w:szCs w:val="22"/>
              </w:rPr>
            </w:r>
          </w:p>
        </w:tc>
      </w:tr>
      <w:tr>
        <w:trPr/>
        <w:tc>
          <w:tcPr>
            <w:tcW w:w="746"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020</w:t>
            </w:r>
          </w:p>
        </w:tc>
        <w:tc>
          <w:tcPr>
            <w:tcW w:w="2591" w:type="dxa"/>
            <w:tcBorders>
              <w:left w:val="single" w:sz="4" w:space="0" w:color="000000"/>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支払済</w:t>
            </w:r>
          </w:p>
        </w:tc>
        <w:tc>
          <w:tcPr>
            <w:tcW w:w="876" w:type="dxa"/>
            <w:tcBorders>
              <w:left w:val="single" w:sz="4" w:space="0" w:color="000000"/>
              <w:bottom w:val="single" w:sz="4" w:space="0" w:color="000000"/>
              <w:right w:val="single" w:sz="4" w:space="0" w:color="000000"/>
            </w:tcBorders>
            <w:vAlign w:val="center"/>
          </w:tcPr>
          <w:p>
            <w:pPr>
              <w:pStyle w:val="Normal"/>
              <w:rPr>
                <w:sz w:val="20"/>
              </w:rPr>
            </w:pPr>
            <w:r>
              <w:rPr>
                <w:rFonts w:eastAsia="ＭＳ ゴシック;MS Gothic" w:cs="ＭＳ ゴシック;MS Gothic" w:ascii="ＭＳ ゴシック;MS Gothic" w:hAnsi="ＭＳ ゴシック;MS Gothic"/>
                <w:color w:val="000000"/>
                <w:sz w:val="22"/>
                <w:szCs w:val="22"/>
              </w:rPr>
              <w:t>040</w:t>
            </w:r>
          </w:p>
        </w:tc>
        <w:tc>
          <w:tcPr>
            <w:tcW w:w="2552" w:type="dxa"/>
            <w:tcBorders>
              <w:bottom w:val="single" w:sz="4" w:space="0" w:color="000000"/>
              <w:right w:val="single" w:sz="4" w:space="0" w:color="000000"/>
            </w:tcBorders>
            <w:vAlign w:val="center"/>
          </w:tcPr>
          <w:p>
            <w:pPr>
              <w:pStyle w:val="Normal"/>
              <w:rPr>
                <w:sz w:val="20"/>
              </w:rPr>
            </w:pPr>
            <w:r>
              <w:rPr>
                <w:rFonts w:ascii="ＭＳ ゴシック;MS Gothic" w:hAnsi="ＭＳ ゴシック;MS Gothic" w:cs="ＭＳ ゴシック;MS Gothic" w:eastAsia="ＭＳ ゴシック;MS Gothic"/>
                <w:color w:val="000000"/>
                <w:sz w:val="22"/>
                <w:szCs w:val="22"/>
              </w:rPr>
              <w:t>入院重複</w:t>
            </w:r>
          </w:p>
        </w:tc>
        <w:tc>
          <w:tcPr>
            <w:tcW w:w="815" w:type="dxa"/>
            <w:tcBorders>
              <w:top w:val="single" w:sz="4" w:space="0" w:color="000000"/>
              <w:left w:val="single" w:sz="4" w:space="0" w:color="000000"/>
              <w:bottom w:val="single" w:sz="4" w:space="0" w:color="000000"/>
              <w:right w:val="single" w:sz="4" w:space="0" w:color="000000"/>
            </w:tcBorders>
          </w:tcPr>
          <w:p>
            <w:pPr>
              <w:pStyle w:val="Normal"/>
              <w:snapToGrid w:val="false"/>
              <w:rPr>
                <w:sz w:val="20"/>
              </w:rPr>
            </w:pPr>
            <w:r>
              <w:rPr>
                <w:sz w:val="20"/>
              </w:rPr>
            </w:r>
          </w:p>
        </w:tc>
        <w:tc>
          <w:tcPr>
            <w:tcW w:w="2520" w:type="dxa"/>
            <w:tcBorders>
              <w:top w:val="single" w:sz="4" w:space="0" w:color="000000"/>
              <w:left w:val="single" w:sz="4" w:space="0" w:color="000000"/>
              <w:bottom w:val="single" w:sz="4" w:space="0" w:color="000000"/>
              <w:right w:val="single" w:sz="4" w:space="0" w:color="000000"/>
            </w:tcBorders>
          </w:tcPr>
          <w:p>
            <w:pPr>
              <w:pStyle w:val="Normal"/>
              <w:snapToGrid w:val="false"/>
              <w:rPr>
                <w:sz w:val="20"/>
              </w:rPr>
            </w:pPr>
            <w:r>
              <w:rPr>
                <w:sz w:val="20"/>
              </w:rPr>
            </w:r>
          </w:p>
        </w:tc>
      </w:tr>
    </w:tbl>
    <w:p>
      <w:pPr>
        <w:pStyle w:val="Normal"/>
        <w:ind w:left="210" w:right="0"/>
        <w:rPr>
          <w:sz w:val="20"/>
        </w:rPr>
      </w:pPr>
      <w:r>
        <w:rPr>
          <w:sz w:val="20"/>
        </w:rPr>
      </w:r>
    </w:p>
    <w:p>
      <w:pPr>
        <w:pStyle w:val="Normal"/>
        <w:ind w:hanging="420" w:left="420" w:right="0"/>
        <w:jc w:val="right"/>
        <w:rPr/>
      </w:pPr>
      <w:r>
        <w:rPr/>
        <w:t>以　上</w:t>
      </w:r>
    </w:p>
    <w:sectPr>
      <w:headerReference w:type="default" r:id="rId4"/>
      <w:footerReference w:type="default" r:id="rId5"/>
      <w:type w:val="nextPage"/>
      <w:pgSz w:w="11906" w:h="16838"/>
      <w:pgMar w:left="902" w:right="902" w:gutter="0" w:header="851" w:top="1701" w:footer="992" w:bottom="1418"/>
      <w:pgNumType w:start="1" w:fmt="decimal"/>
      <w:formProt w:val="false"/>
      <w:textDirection w:val="lrTb"/>
      <w:docGrid w:type="lines" w:linePitch="343"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0"/>
    <w:family w:val="roman"/>
    <w:pitch w:val="variable"/>
  </w:font>
  <w:font w:name="Century">
    <w:charset w:val="00"/>
    <w:family w:val="roman"/>
    <w:pitch w:val="variable"/>
  </w:font>
  <w:font w:name="ＭＳ 明朝">
    <w:altName w:val="MS Mincho"/>
    <w:charset w:val="80"/>
    <w:family w:val="roman"/>
    <w:pitch w:val="default"/>
  </w:font>
  <w:font w:name="Wingdings">
    <w:charset w:val="02"/>
    <w:family w:val="auto"/>
    <w:pitch w:val="variable"/>
  </w:font>
  <w:font w:name="Liberation Sans">
    <w:altName w:val="Arial"/>
    <w:charset w:val="80"/>
    <w:family w:val="swiss"/>
    <w:pitch w:val="variable"/>
  </w:font>
  <w:font w:name=" ＭＳ 明朝">
    <w:altName w:val="ＭＳ 明朝"/>
    <w:charset w:val="80"/>
    <w:family w:val="roman"/>
    <w:pitch w:val="default"/>
  </w:font>
  <w:font w:name="ＭＳ ゴシック">
    <w:altName w:val="MS Gothic"/>
    <w:charset w:val="80"/>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jc w:val="center"/>
      <w:rPr/>
    </w:pPr>
    <w:r>
      <w:rPr/>
    </w:r>
    <w:r>
      <mc:AlternateContent>
        <mc:Choice Requires="wps">
          <w:drawing>
            <wp:anchor behindDoc="0" distT="0" distB="0" distL="0" distR="0" simplePos="0" locked="0" layoutInCell="0" allowOverlap="1" relativeHeight="6">
              <wp:simplePos x="0" y="0"/>
              <wp:positionH relativeFrom="margin">
                <wp:align>center</wp:align>
              </wp:positionH>
              <wp:positionV relativeFrom="paragraph">
                <wp:posOffset>635</wp:posOffset>
              </wp:positionV>
              <wp:extent cx="67310" cy="153670"/>
              <wp:effectExtent l="0" t="0" r="0" b="0"/>
              <wp:wrapSquare wrapText="bothSides"/>
              <wp:docPr id="22" name="枠9"/>
              <a:graphic xmlns:a="http://schemas.openxmlformats.org/drawingml/2006/main">
                <a:graphicData uri="http://schemas.microsoft.com/office/word/2010/wordprocessingShape">
                  <wps:wsp>
                    <wps:cNvSpPr txBox="1"/>
                    <wps:spPr>
                      <a:xfrm>
                        <a:off x="0" y="0"/>
                        <a:ext cx="67310" cy="15367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3pt;height:12.1pt;mso-wrap-distance-left:0pt;mso-wrap-distance-right:0pt;mso-wrap-distance-top:0pt;mso-wrap-distance-bottom:0pt;margin-top:0.05pt;mso-position-vertical-relative:text;margin-left:249.9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社外秘</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upperLetter"/>
      <w:lvlText w:val="%1)"/>
      <w:lvlJc w:val="left"/>
      <w:pPr>
        <w:tabs>
          <w:tab w:val="num" w:pos="1258"/>
        </w:tabs>
        <w:ind w:left="1258" w:hanging="420"/>
      </w:pPr>
    </w:lvl>
  </w:abstractNum>
  <w:abstractNum w:abstractNumId="3">
    <w:lvl w:ilvl="0">
      <w:start w:val="1"/>
      <w:numFmt w:val="bullet"/>
      <w:lvlText w:val=""/>
      <w:lvlJc w:val="left"/>
      <w:pPr>
        <w:tabs>
          <w:tab w:val="num" w:pos="630"/>
        </w:tabs>
        <w:ind w:left="630" w:hanging="42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Arial"/>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val="en-US" w:eastAsia="ja-JP" w:bidi="ar-SA"/>
    </w:rPr>
  </w:style>
  <w:style w:type="paragraph" w:styleId="Heading2">
    <w:name w:val="heading 2"/>
    <w:basedOn w:val="Normal"/>
    <w:next w:val="Normal"/>
    <w:qFormat/>
    <w:pPr>
      <w:keepNext w:val="true"/>
      <w:numPr>
        <w:ilvl w:val="1"/>
        <w:numId w:val="1"/>
      </w:numPr>
      <w:outlineLvl w:val="1"/>
    </w:pPr>
    <w:rPr>
      <w:rFonts w:ascii="Arial" w:hAnsi="Arial" w:eastAsia="ＭＳ ゴシック;MS Gothic" w:cs="Arial"/>
      <w:color w:val="FF0000"/>
      <w:spacing w:val="5"/>
      <w:sz w:val="20"/>
    </w:rPr>
  </w:style>
  <w:style w:type="character" w:styleId="WW8Num2z0">
    <w:name w:val="WW8Num2z0"/>
    <w:qFormat/>
    <w:rPr>
      <w:rFonts w:ascii="ＭＳ 明朝;MS Mincho" w:hAnsi="ＭＳ 明朝;MS Mincho" w:eastAsia="ＭＳ 明朝;MS Mincho" w:cs="Times New Roman"/>
    </w:rPr>
  </w:style>
  <w:style w:type="character" w:styleId="WW8Num2z1">
    <w:name w:val="WW8Num2z1"/>
    <w:qFormat/>
    <w:rPr>
      <w:rFonts w:ascii="Wingdings" w:hAnsi="Wingdings" w:cs="Wingdings"/>
    </w:rPr>
  </w:style>
  <w:style w:type="character" w:styleId="WW8Num3z0">
    <w:name w:val="WW8Num3z0"/>
    <w:qFormat/>
    <w:rPr>
      <w:rFonts w:ascii="Wingdings" w:hAnsi="Wingdings" w:cs="Wingdings"/>
    </w:rPr>
  </w:style>
  <w:style w:type="character" w:styleId="Style13">
    <w:name w:val="段落フォント"/>
    <w:qFormat/>
    <w:rPr/>
  </w:style>
  <w:style w:type="character" w:styleId="PageNumber">
    <w:name w:val="page number"/>
    <w:basedOn w:val="Style13"/>
    <w:rPr/>
  </w:style>
  <w:style w:type="character" w:styleId="Style14">
    <w:name w:val="吹き出し (文字)"/>
    <w:qFormat/>
    <w:rPr>
      <w:rFonts w:ascii="Arial" w:hAnsi="Arial" w:eastAsia="ＭＳ ゴシック;MS Gothic" w:cs="Times New Roman"/>
      <w:kern w:val="2"/>
      <w:sz w:val="18"/>
      <w:szCs w:val="18"/>
    </w:rPr>
  </w:style>
  <w:style w:type="paragraph" w:styleId="Style15">
    <w:name w:val="見出し"/>
    <w:basedOn w:val="Normal"/>
    <w:next w:val="BodyText"/>
    <w:qFormat/>
    <w:pPr>
      <w:keepNext w:val="true"/>
      <w:spacing w:before="240" w:after="120"/>
    </w:pPr>
    <w:rPr>
      <w:rFonts w:ascii="Liberation Sans" w:hAnsi="Liberation Sans" w:eastAsia="Noto Sans JP"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索引"/>
    <w:basedOn w:val="Normal"/>
    <w:qFormat/>
    <w:pPr>
      <w:suppressLineNumbers/>
    </w:pPr>
    <w:rPr>
      <w:rFonts w:cs="Arial"/>
    </w:rPr>
  </w:style>
  <w:style w:type="paragraph" w:styleId="Style17">
    <w:name w:val="日付"/>
    <w:basedOn w:val="Normal"/>
    <w:next w:val="Normal"/>
    <w:qFormat/>
    <w:pPr/>
    <w:rPr/>
  </w:style>
  <w:style w:type="paragraph" w:styleId="Salutation">
    <w:name w:val="Salutation"/>
    <w:basedOn w:val="Normal"/>
    <w:pPr>
      <w:jc w:val="right"/>
    </w:pPr>
    <w:rPr/>
  </w:style>
  <w:style w:type="paragraph" w:styleId="Style18">
    <w:name w:val="ヘッダーとフッター"/>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Style19">
    <w:name w:val="吹き出し"/>
    <w:basedOn w:val="Normal"/>
    <w:qFormat/>
    <w:pPr/>
    <w:rPr>
      <w:rFonts w:ascii="Arial" w:hAnsi="Arial" w:eastAsia="ＭＳ ゴシック;MS Gothic" w:cs="Times New Roman"/>
      <w:sz w:val="18"/>
      <w:szCs w:val="18"/>
    </w:rPr>
  </w:style>
  <w:style w:type="paragraph" w:styleId="Style20">
    <w:name w:val="変更箇所"/>
    <w:qFormat/>
    <w:pPr>
      <w:widowControl/>
      <w:bidi w:val="0"/>
    </w:pPr>
    <w:rPr>
      <w:rFonts w:ascii="Century" w:hAnsi="Century" w:eastAsia="ＭＳ 明朝;MS Mincho" w:cs="Times New Roman"/>
      <w:color w:val="auto"/>
      <w:kern w:val="2"/>
      <w:sz w:val="21"/>
      <w:szCs w:val="24"/>
      <w:lang w:val="en-US" w:eastAsia="ja-JP" w:bidi="ar-SA"/>
    </w:rPr>
  </w:style>
  <w:style w:type="paragraph" w:styleId="Style21">
    <w:name w:val="表の内容"/>
    <w:basedOn w:val="Normal"/>
    <w:qFormat/>
    <w:pPr>
      <w:widowControl w:val="false"/>
      <w:suppressLineNumbers/>
    </w:pPr>
    <w:rPr/>
  </w:style>
  <w:style w:type="paragraph" w:styleId="Style22">
    <w:name w:val="表の見出し"/>
    <w:basedOn w:val="Style21"/>
    <w:qFormat/>
    <w:pPr>
      <w:suppressLineNumbers/>
      <w:jc w:val="center"/>
    </w:pPr>
    <w:rPr>
      <w:b/>
      <w:bCs/>
    </w:rPr>
  </w:style>
  <w:style w:type="paragraph" w:styleId="Style23">
    <w:name w:val="枠の内容"/>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C6E4B166.dotm</Template>
  <TotalTime>0</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2019-08-28T15:11:00Z</dcterms:created>
  <dc:creator>朝日生命保険</dc:creator>
  <dc:description/>
  <cp:keywords/>
  <dc:language>ja-JP</dc:language>
  <cp:lastModifiedBy>朝日生命保険相互会社</cp:lastModifiedBy>
  <cp:lastPrinted>2018-05-09T10:23:00Z</cp:lastPrinted>
  <dcterms:modified xsi:type="dcterms:W3CDTF">2019-08-28T15:11:00Z</dcterms:modified>
  <cp:revision>2</cp:revision>
  <dc:subject/>
  <dc:title>保険金ユニット</dc:title>
</cp:coreProperties>
</file>