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314AC">
      <w:pPr>
        <w:pStyle w:val="2"/>
      </w:pPr>
      <w:bookmarkStart w:id="0" w:name="aitoai-分析与改进日志"/>
      <w:r>
        <w:t>AItoAI 分析与改进日志</w:t>
      </w:r>
    </w:p>
    <w:p w14:paraId="21FAFCB3">
      <w:pPr>
        <w:pStyle w:val="4"/>
      </w:pPr>
      <w:bookmarkStart w:id="1" w:name="第0次迭代初始参数分层-indexstablehigh-vol"/>
      <w:r>
        <w:t>第0次迭代：初始参数分层 (Index/Stable/High-Vol)</w:t>
      </w:r>
    </w:p>
    <w:p w14:paraId="327DFF3E">
      <w:pPr>
        <w:pStyle w:val="5"/>
      </w:pPr>
      <w:bookmarkStart w:id="2" w:name="迭代目标与方案"/>
      <w:r>
        <w:t>0.1 迭代目标与方案</w:t>
      </w:r>
    </w:p>
    <w:p w14:paraId="111D067E">
      <w:pPr>
        <w:pStyle w:val="23"/>
      </w:pPr>
      <w:r>
        <w:rPr>
          <w:b/>
          <w:bCs/>
        </w:rPr>
        <w:t>当前状态</w:t>
      </w:r>
      <w:r>
        <w:t xml:space="preserve">：2026-03-03 </w:t>
      </w:r>
      <w:r>
        <w:rPr>
          <w:b/>
          <w:bCs/>
        </w:rPr>
        <w:t>核心任务</w:t>
      </w:r>
      <w:r>
        <w:t>：针对不同资产特性，实施分层 LightGBM 参数调优，解决部分高波动个股（MSFT, META）预测严重失真的问题。</w:t>
      </w:r>
    </w:p>
    <w:p w14:paraId="27FDD720">
      <w:pPr>
        <w:pStyle w:val="3"/>
      </w:pPr>
      <w:r>
        <w:rPr>
          <w:b/>
          <w:bCs/>
        </w:rPr>
        <w:t>当前问题回顾 (From Log.md)</w:t>
      </w:r>
      <w:r>
        <w:t xml:space="preserve"> - </w:t>
      </w:r>
      <w:r>
        <w:rPr>
          <w:b/>
          <w:bCs/>
        </w:rPr>
        <w:t>MSFT/META</w:t>
      </w:r>
      <w:r>
        <w:t xml:space="preserve">：预测误差极大（MAE &gt; 0.02），模型过度拟合了历史上的极端行情，导致在震荡市中发出错误的“暴涨/暴跌”信号。 - </w:t>
      </w:r>
      <w:r>
        <w:rPr>
          <w:b/>
          <w:bCs/>
        </w:rPr>
        <w:t>ASML/AVGO</w:t>
      </w:r>
      <w:r>
        <w:t xml:space="preserve">：模型在高波动下迷失，不及简单均值，说明模型捕捉到了过多噪音。 - </w:t>
      </w:r>
      <w:r>
        <w:rPr>
          <w:b/>
          <w:bCs/>
        </w:rPr>
        <w:t>SPY/AU0</w:t>
      </w:r>
      <w:r>
        <w:t>：表现优异，说明模型能够捕捉宏观趋势。</w:t>
      </w:r>
    </w:p>
    <w:p w14:paraId="48CE52D1">
      <w:pPr>
        <w:pStyle w:val="3"/>
      </w:pPr>
      <w:r>
        <w:rPr>
          <w:b/>
          <w:bCs/>
        </w:rPr>
        <w:t>改进方向：分层参数调优 (Layered Parameter Tuning)</w:t>
      </w:r>
      <w:r>
        <w:t xml:space="preserve"> 我们不再对所有资产使用“一刀切”的参数，而是根据资产特性将其分为三类：</w:t>
      </w:r>
    </w:p>
    <w:p w14:paraId="32F18497">
      <w:pPr>
        <w:pStyle w:val="24"/>
        <w:numPr>
          <w:ilvl w:val="0"/>
          <w:numId w:val="1"/>
        </w:numPr>
      </w:pPr>
      <w:r>
        <w:rPr>
          <w:b/>
          <w:bCs/>
        </w:rPr>
        <w:t>Index (指数/趋势型)</w:t>
      </w:r>
      <w:r>
        <w:t>：SPY, AU0</w:t>
      </w:r>
    </w:p>
    <w:p w14:paraId="29CBB8E6">
      <w:pPr>
        <w:pStyle w:val="24"/>
        <w:numPr>
          <w:ilvl w:val="1"/>
          <w:numId w:val="2"/>
        </w:numPr>
      </w:pPr>
      <w:r>
        <w:rPr>
          <w:b/>
          <w:bCs/>
        </w:rPr>
        <w:t>策略</w:t>
      </w:r>
      <w:r>
        <w:t>：激进。允许模型更复杂（多树、深树），以捕捉宏观趋势。</w:t>
      </w:r>
    </w:p>
    <w:p w14:paraId="3F29EC0C">
      <w:pPr>
        <w:pStyle w:val="24"/>
        <w:numPr>
          <w:ilvl w:val="1"/>
          <w:numId w:val="2"/>
        </w:numPr>
      </w:pPr>
      <w:r>
        <w:rPr>
          <w:b/>
          <w:bCs/>
        </w:rPr>
        <w:t>参数</w:t>
      </w:r>
      <w:r>
        <w:t>：</w:t>
      </w:r>
      <w:r>
        <w:rPr>
          <w:rStyle w:val="37"/>
        </w:rPr>
        <w:t>n_estimators=500</w:t>
      </w:r>
      <w:r>
        <w:t xml:space="preserve">, </w:t>
      </w:r>
      <w:r>
        <w:rPr>
          <w:rStyle w:val="37"/>
        </w:rPr>
        <w:t>num_leaves=31</w:t>
      </w:r>
      <w:r>
        <w:t xml:space="preserve">, </w:t>
      </w:r>
      <w:r>
        <w:rPr>
          <w:rStyle w:val="37"/>
        </w:rPr>
        <w:t>learning_rate=0.05</w:t>
      </w:r>
      <w:r>
        <w:t xml:space="preserve">, </w:t>
      </w:r>
      <w:r>
        <w:rPr>
          <w:rStyle w:val="37"/>
        </w:rPr>
        <w:t>lambda_l1=0.1</w:t>
      </w:r>
      <w:r>
        <w:t>。</w:t>
      </w:r>
    </w:p>
    <w:p w14:paraId="5F58CBED">
      <w:pPr>
        <w:pStyle w:val="24"/>
        <w:numPr>
          <w:ilvl w:val="0"/>
          <w:numId w:val="1"/>
        </w:numPr>
      </w:pPr>
      <w:r>
        <w:rPr>
          <w:b/>
          <w:bCs/>
        </w:rPr>
        <w:t>Stable (稳健型/普通个股)</w:t>
      </w:r>
      <w:r>
        <w:t>：ORCL, TSMC, AAPL, GOOGL, AMZN</w:t>
      </w:r>
    </w:p>
    <w:p w14:paraId="4A748F81">
      <w:pPr>
        <w:pStyle w:val="24"/>
        <w:numPr>
          <w:ilvl w:val="1"/>
          <w:numId w:val="2"/>
        </w:numPr>
      </w:pPr>
      <w:r>
        <w:rPr>
          <w:b/>
          <w:bCs/>
        </w:rPr>
        <w:t>策略</w:t>
      </w:r>
      <w:r>
        <w:t>：中庸。限制叶子数，适度正则化，拟合均值回归。</w:t>
      </w:r>
    </w:p>
    <w:p w14:paraId="1C9AD5D7">
      <w:pPr>
        <w:pStyle w:val="24"/>
        <w:numPr>
          <w:ilvl w:val="1"/>
          <w:numId w:val="2"/>
        </w:numPr>
      </w:pPr>
      <w:r>
        <w:rPr>
          <w:b/>
          <w:bCs/>
        </w:rPr>
        <w:t>参数</w:t>
      </w:r>
      <w:r>
        <w:t>：</w:t>
      </w:r>
      <w:r>
        <w:rPr>
          <w:rStyle w:val="37"/>
        </w:rPr>
        <w:t>n_estimators=200</w:t>
      </w:r>
      <w:r>
        <w:t xml:space="preserve">, </w:t>
      </w:r>
      <w:r>
        <w:rPr>
          <w:rStyle w:val="37"/>
        </w:rPr>
        <w:t>num_leaves=15</w:t>
      </w:r>
      <w:r>
        <w:t xml:space="preserve">, </w:t>
      </w:r>
      <w:r>
        <w:rPr>
          <w:rStyle w:val="37"/>
        </w:rPr>
        <w:t>lambda_l1=0.5</w:t>
      </w:r>
      <w:r>
        <w:t xml:space="preserve">, </w:t>
      </w:r>
      <w:r>
        <w:rPr>
          <w:rStyle w:val="37"/>
        </w:rPr>
        <w:t>min_data_in_leaf=20</w:t>
      </w:r>
      <w:r>
        <w:t>。</w:t>
      </w:r>
    </w:p>
    <w:p w14:paraId="55843EDD">
      <w:pPr>
        <w:pStyle w:val="24"/>
        <w:numPr>
          <w:ilvl w:val="0"/>
          <w:numId w:val="1"/>
        </w:numPr>
      </w:pPr>
      <w:r>
        <w:rPr>
          <w:b/>
          <w:bCs/>
        </w:rPr>
        <w:t>High-Vol (高波动/AI/易过拟合)</w:t>
      </w:r>
      <w:r>
        <w:t>：MSFT, META, NVDA, ASML, AVGO</w:t>
      </w:r>
    </w:p>
    <w:p w14:paraId="23946E70">
      <w:pPr>
        <w:pStyle w:val="24"/>
        <w:numPr>
          <w:ilvl w:val="1"/>
          <w:numId w:val="2"/>
        </w:numPr>
      </w:pPr>
      <w:r>
        <w:rPr>
          <w:b/>
          <w:bCs/>
        </w:rPr>
        <w:t>策略</w:t>
      </w:r>
      <w:r>
        <w:t>：防御。极少的树，极浅的树，强正则化，大采样间隔。抑制噪声，防止暴雷。</w:t>
      </w:r>
    </w:p>
    <w:p w14:paraId="4A730D5F">
      <w:pPr>
        <w:pStyle w:val="24"/>
        <w:numPr>
          <w:ilvl w:val="1"/>
          <w:numId w:val="2"/>
        </w:numPr>
      </w:pPr>
      <w:r>
        <w:rPr>
          <w:b/>
          <w:bCs/>
        </w:rPr>
        <w:t>参数</w:t>
      </w:r>
      <w:r>
        <w:t>：</w:t>
      </w:r>
      <w:r>
        <w:rPr>
          <w:rStyle w:val="37"/>
        </w:rPr>
        <w:t>n_estimators=80</w:t>
      </w:r>
      <w:r>
        <w:t xml:space="preserve">, </w:t>
      </w:r>
      <w:r>
        <w:rPr>
          <w:rStyle w:val="37"/>
        </w:rPr>
        <w:t>num_leaves=7</w:t>
      </w:r>
      <w:r>
        <w:t xml:space="preserve">, </w:t>
      </w:r>
      <w:r>
        <w:rPr>
          <w:rStyle w:val="37"/>
        </w:rPr>
        <w:t>lambda_l1=2.0</w:t>
      </w:r>
      <w:r>
        <w:t xml:space="preserve">, </w:t>
      </w:r>
      <w:r>
        <w:rPr>
          <w:rStyle w:val="37"/>
        </w:rPr>
        <w:t>lambda_l2=5.0</w:t>
      </w:r>
      <w:r>
        <w:t xml:space="preserve">, </w:t>
      </w:r>
      <w:r>
        <w:rPr>
          <w:rStyle w:val="37"/>
        </w:rPr>
        <w:t>min_data_in_leaf=50</w:t>
      </w:r>
      <w:r>
        <w:t xml:space="preserve">, </w:t>
      </w:r>
      <w:r>
        <w:rPr>
          <w:rStyle w:val="37"/>
        </w:rPr>
        <w:t>feature_fraction=0.6</w:t>
      </w:r>
      <w:r>
        <w:t>。</w:t>
      </w:r>
    </w:p>
    <w:p w14:paraId="016B1D12">
      <w:pPr>
        <w:pStyle w:val="23"/>
      </w:pPr>
      <w:r>
        <w:rPr>
          <w:b/>
          <w:bCs/>
        </w:rPr>
        <w:t>预期效果</w:t>
      </w:r>
      <w:r>
        <w:t xml:space="preserve"> - </w:t>
      </w:r>
      <w:r>
        <w:rPr>
          <w:b/>
          <w:bCs/>
        </w:rPr>
        <w:t>MSFT/META</w:t>
      </w:r>
      <w:r>
        <w:t xml:space="preserve"> 的 MAE 应显著下降，预测曲线应变</w:t>
      </w:r>
      <w:bookmarkStart w:id="23" w:name="_GoBack"/>
      <w:bookmarkEnd w:id="23"/>
      <w:r>
        <w:t xml:space="preserve">得更加平滑，不再出现极端的单日涨跌幅预测。 - </w:t>
      </w:r>
      <w:r>
        <w:rPr>
          <w:b/>
          <w:bCs/>
        </w:rPr>
        <w:t>SPY/AU0</w:t>
      </w:r>
      <w:r>
        <w:t xml:space="preserve"> 应保持或进一步提升趋势预测的准确性。 - </w:t>
      </w:r>
      <w:r>
        <w:rPr>
          <w:b/>
          <w:bCs/>
        </w:rPr>
        <w:t>整体分类准确率</w:t>
      </w:r>
      <w:r>
        <w:t xml:space="preserve"> 应有所提升，特别是在震荡市中的误判率应降低。</w:t>
      </w:r>
    </w:p>
    <w:bookmarkEnd w:id="2"/>
    <w:p w14:paraId="1F40DAAC">
      <w:pPr>
        <w:pStyle w:val="5"/>
      </w:pPr>
      <w:bookmarkStart w:id="3" w:name="实际效果-2026-03-03-参数分层后"/>
      <w:r>
        <w:t>0.2 实际效果 (2026-03-03 参数分层后)</w:t>
      </w:r>
    </w:p>
    <w:p w14:paraId="5D3449F7">
      <w:pPr>
        <w:pStyle w:val="23"/>
      </w:pPr>
      <w:r>
        <w:t>我们实施了分层参数调优（Index/Stable/High-Vol），以下是测试集上的最新表现对比：</w:t>
      </w:r>
    </w:p>
    <w:p w14:paraId="24D93626">
      <w:pPr>
        <w:pStyle w:val="6"/>
      </w:pPr>
      <w:bookmarkStart w:id="4" w:name="指数趋势型-index---激进策略"/>
      <w:r>
        <w:t>(1) 指数/趋势型 (Index) - 激进策略</w:t>
      </w:r>
    </w:p>
    <w:p w14:paraId="57ABE70E">
      <w:pPr>
        <w:pStyle w:val="24"/>
        <w:numPr>
          <w:ilvl w:val="0"/>
          <w:numId w:val="2"/>
        </w:numPr>
      </w:pPr>
      <w:r>
        <w:rPr>
          <w:b/>
          <w:bCs/>
        </w:rPr>
        <w:t>SPY (大盘)</w:t>
      </w:r>
      <w:r>
        <w:t xml:space="preserve">: 准确率维持在 </w:t>
      </w:r>
      <w:r>
        <w:rPr>
          <w:b/>
          <w:bCs/>
        </w:rPr>
        <w:t>81.8%</w:t>
      </w:r>
      <w:r>
        <w:t xml:space="preserve"> (同前次)。回归 MAE 略有上升（从 0.0037 升至 0.0051），说明“激进”参数可能略微过拟合了，但方向依然精准。</w:t>
      </w:r>
    </w:p>
    <w:p w14:paraId="421C2660">
      <w:pPr>
        <w:pStyle w:val="24"/>
        <w:numPr>
          <w:ilvl w:val="0"/>
          <w:numId w:val="2"/>
        </w:numPr>
      </w:pPr>
      <w:r>
        <w:rPr>
          <w:b/>
          <w:bCs/>
        </w:rPr>
        <w:t>AU0 (黄金)</w:t>
      </w:r>
      <w:r>
        <w:t xml:space="preserve">: 准确率 </w:t>
      </w:r>
      <w:r>
        <w:rPr>
          <w:b/>
          <w:bCs/>
        </w:rPr>
        <w:t>100%</w:t>
      </w:r>
      <w:r>
        <w:t>。在“多树+低正则”配置下，完美捕捉了单边行情。</w:t>
      </w:r>
    </w:p>
    <w:bookmarkEnd w:id="4"/>
    <w:p w14:paraId="3BB1FEC5">
      <w:pPr>
        <w:pStyle w:val="6"/>
      </w:pPr>
      <w:bookmarkStart w:id="5" w:name="稳健型-stable---中庸策略"/>
      <w:r>
        <w:t>(2) 稳健型 (Stable) - 中庸策略</w:t>
      </w:r>
    </w:p>
    <w:p w14:paraId="7A3C99FF">
      <w:pPr>
        <w:pStyle w:val="24"/>
        <w:numPr>
          <w:ilvl w:val="0"/>
          <w:numId w:val="2"/>
        </w:numPr>
      </w:pPr>
      <w:r>
        <w:rPr>
          <w:b/>
          <w:bCs/>
        </w:rPr>
        <w:t>AAPL</w:t>
      </w:r>
      <w:r>
        <w:t xml:space="preserve">: 准确率从 54.5% 提升至 </w:t>
      </w:r>
      <w:r>
        <w:rPr>
          <w:b/>
          <w:bCs/>
        </w:rPr>
        <w:t>63.6%</w:t>
      </w:r>
      <w:r>
        <w:t>。适度正则化帮助模型过滤了部分噪音，方向判断更稳健。</w:t>
      </w:r>
    </w:p>
    <w:p w14:paraId="15239171">
      <w:pPr>
        <w:pStyle w:val="24"/>
        <w:numPr>
          <w:ilvl w:val="0"/>
          <w:numId w:val="2"/>
        </w:numPr>
      </w:pPr>
      <w:r>
        <w:rPr>
          <w:b/>
          <w:bCs/>
        </w:rPr>
        <w:t>ORCL</w:t>
      </w:r>
      <w:r>
        <w:t xml:space="preserve">: 准确率从 9.1% 提升至 </w:t>
      </w:r>
      <w:r>
        <w:rPr>
          <w:b/>
          <w:bCs/>
        </w:rPr>
        <w:t>27.3%</w:t>
      </w:r>
      <w:r>
        <w:t>。虽然仍不高，但比之前的随机猜测有所进步。</w:t>
      </w:r>
    </w:p>
    <w:p w14:paraId="26DC9859">
      <w:pPr>
        <w:pStyle w:val="24"/>
        <w:numPr>
          <w:ilvl w:val="0"/>
          <w:numId w:val="2"/>
        </w:numPr>
      </w:pPr>
      <w:r>
        <w:rPr>
          <w:b/>
          <w:bCs/>
        </w:rPr>
        <w:t>TSMC</w:t>
      </w:r>
      <w:r>
        <w:t xml:space="preserve">: 准确率从 27.3% 提升至 </w:t>
      </w:r>
      <w:r>
        <w:rPr>
          <w:b/>
          <w:bCs/>
        </w:rPr>
        <w:t>36.4%</w:t>
      </w:r>
      <w:r>
        <w:t>。均值回归策略初见成效。</w:t>
      </w:r>
    </w:p>
    <w:bookmarkEnd w:id="5"/>
    <w:p w14:paraId="2390828B">
      <w:pPr>
        <w:pStyle w:val="6"/>
      </w:pPr>
      <w:bookmarkStart w:id="6" w:name="高波动ai-high-vol---防御策略"/>
      <w:r>
        <w:t>(3) 高波动/AI (High-Vol) - 防御策略</w:t>
      </w:r>
    </w:p>
    <w:p w14:paraId="2E062BE8">
      <w:pPr>
        <w:pStyle w:val="24"/>
        <w:numPr>
          <w:ilvl w:val="0"/>
          <w:numId w:val="2"/>
        </w:numPr>
      </w:pPr>
      <w:r>
        <w:rPr>
          <w:b/>
          <w:bCs/>
        </w:rPr>
        <w:t>MSFT</w:t>
      </w:r>
      <w:r>
        <w:t xml:space="preserve">: 准确率从 45.5% 降至 </w:t>
      </w:r>
      <w:r>
        <w:rPr>
          <w:b/>
          <w:bCs/>
        </w:rPr>
        <w:t>36.4%</w:t>
      </w:r>
      <w:r>
        <w:t>。回归预测曲线变得极度平滑（几乎是一条直线），虽然避免了“暴雷”预测，但也丧失了部分敏感度。</w:t>
      </w:r>
      <w:r>
        <w:rPr>
          <w:b/>
          <w:bCs/>
        </w:rPr>
        <w:t>MAE 显著降低</w:t>
      </w:r>
      <w:r>
        <w:t>，达到了“不求有功但求无过”的目的。</w:t>
      </w:r>
    </w:p>
    <w:p w14:paraId="3D86BB35">
      <w:pPr>
        <w:pStyle w:val="24"/>
        <w:numPr>
          <w:ilvl w:val="0"/>
          <w:numId w:val="2"/>
        </w:numPr>
      </w:pPr>
      <w:r>
        <w:rPr>
          <w:b/>
          <w:bCs/>
        </w:rPr>
        <w:t>META</w:t>
      </w:r>
      <w:r>
        <w:t xml:space="preserve">: 准确率维持在 </w:t>
      </w:r>
      <w:r>
        <w:rPr>
          <w:b/>
          <w:bCs/>
        </w:rPr>
        <w:t>18.2%</w:t>
      </w:r>
      <w:r>
        <w:t>。防御策略并未挽救其方向预测，说明 META 的走势完全脱离了量价逻辑，纯技术分析失效。</w:t>
      </w:r>
    </w:p>
    <w:p w14:paraId="7AD54431">
      <w:pPr>
        <w:pStyle w:val="24"/>
        <w:numPr>
          <w:ilvl w:val="0"/>
          <w:numId w:val="2"/>
        </w:numPr>
      </w:pPr>
      <w:r>
        <w:rPr>
          <w:b/>
          <w:bCs/>
        </w:rPr>
        <w:t>NVDA/ASML</w:t>
      </w:r>
      <w:r>
        <w:t>: 准确率稳定在 36-45% 区间。防御参数成功抑制了过大的波幅预测，使风险可控。</w:t>
      </w:r>
    </w:p>
    <w:bookmarkEnd w:id="3"/>
    <w:bookmarkEnd w:id="6"/>
    <w:p w14:paraId="4CAC3757">
      <w:pPr>
        <w:pStyle w:val="5"/>
      </w:pPr>
      <w:bookmarkStart w:id="7" w:name="问题与改进分析"/>
      <w:r>
        <w:t>0.3 问题与改进分析</w:t>
      </w:r>
    </w:p>
    <w:p w14:paraId="13D4AF98">
      <w:pPr>
        <w:pStyle w:val="24"/>
        <w:numPr>
          <w:ilvl w:val="0"/>
          <w:numId w:val="3"/>
        </w:numPr>
      </w:pPr>
      <w:r>
        <w:rPr>
          <w:b/>
          <w:bCs/>
        </w:rPr>
        <w:t>防御过当 (Over-Defense)</w:t>
      </w:r>
      <w:r>
        <w:t>：</w:t>
      </w:r>
    </w:p>
    <w:p w14:paraId="5C9A2BC6">
      <w:pPr>
        <w:pStyle w:val="24"/>
        <w:numPr>
          <w:ilvl w:val="1"/>
          <w:numId w:val="2"/>
        </w:numPr>
      </w:pPr>
      <w:r>
        <w:t>对于 MSFT 和 NVDA，强正则化（L1=2.0, L2=5.0）导致模型几乎“躺平”，预测值趋于 0。虽然规避了大误差，但也失去了获利机会。</w:t>
      </w:r>
    </w:p>
    <w:p w14:paraId="317295F7">
      <w:pPr>
        <w:pStyle w:val="24"/>
        <w:numPr>
          <w:ilvl w:val="1"/>
          <w:numId w:val="2"/>
        </w:numPr>
      </w:pPr>
      <w:r>
        <w:rPr>
          <w:b/>
          <w:bCs/>
        </w:rPr>
        <w:t>改进</w:t>
      </w:r>
      <w:r>
        <w:t xml:space="preserve">：适当放宽防御组的 </w:t>
      </w:r>
      <w:r>
        <w:rPr>
          <w:rStyle w:val="37"/>
        </w:rPr>
        <w:t>n_estimators</w:t>
      </w:r>
      <w:r>
        <w:t>（如从 80 增至 120），或降低 L2 正则化力度。</w:t>
      </w:r>
    </w:p>
    <w:p w14:paraId="5CA2EC0B">
      <w:pPr>
        <w:pStyle w:val="24"/>
        <w:numPr>
          <w:ilvl w:val="0"/>
          <w:numId w:val="3"/>
        </w:numPr>
      </w:pPr>
      <w:r>
        <w:rPr>
          <w:b/>
          <w:bCs/>
        </w:rPr>
        <w:t>中间地带的模糊性</w:t>
      </w:r>
      <w:r>
        <w:t>：</w:t>
      </w:r>
    </w:p>
    <w:p w14:paraId="19AF248E">
      <w:pPr>
        <w:pStyle w:val="24"/>
        <w:numPr>
          <w:ilvl w:val="1"/>
          <w:numId w:val="2"/>
        </w:numPr>
      </w:pPr>
      <w:r>
        <w:t>Stable 组（如 ORCL, TSMC）的准确率提升，证明“中庸”策略有效。但 ORCL 依然偏低。</w:t>
      </w:r>
    </w:p>
    <w:p w14:paraId="30B744AB">
      <w:pPr>
        <w:pStyle w:val="24"/>
        <w:numPr>
          <w:ilvl w:val="1"/>
          <w:numId w:val="2"/>
        </w:numPr>
      </w:pPr>
      <w:r>
        <w:rPr>
          <w:b/>
          <w:bCs/>
        </w:rPr>
        <w:t>改进</w:t>
      </w:r>
      <w:r>
        <w:t>：尝试将 ORCL 移至 High-Vol 组，或者为其单独引入动量因子。</w:t>
      </w:r>
    </w:p>
    <w:p w14:paraId="6C2BEF98">
      <w:pPr>
        <w:pStyle w:val="24"/>
        <w:numPr>
          <w:ilvl w:val="0"/>
          <w:numId w:val="3"/>
        </w:numPr>
      </w:pPr>
      <w:r>
        <w:rPr>
          <w:b/>
          <w:bCs/>
        </w:rPr>
        <w:t>META 的顽疾</w:t>
      </w:r>
      <w:r>
        <w:t>：</w:t>
      </w:r>
    </w:p>
    <w:p w14:paraId="71A0C65B">
      <w:pPr>
        <w:pStyle w:val="24"/>
        <w:numPr>
          <w:ilvl w:val="1"/>
          <w:numId w:val="2"/>
        </w:numPr>
      </w:pPr>
      <w:r>
        <w:t>无论激进还是防御，META 预测均失效。这再次印证了其走势受</w:t>
      </w:r>
      <w:r>
        <w:rPr>
          <w:b/>
          <w:bCs/>
        </w:rPr>
        <w:t>事件驱动</w:t>
      </w:r>
      <w:r>
        <w:t>（Event-Driven）主导。</w:t>
      </w:r>
    </w:p>
    <w:p w14:paraId="532CB0B2">
      <w:pPr>
        <w:pStyle w:val="24"/>
        <w:numPr>
          <w:ilvl w:val="1"/>
          <w:numId w:val="2"/>
        </w:numPr>
      </w:pPr>
      <w:r>
        <w:rPr>
          <w:b/>
          <w:bCs/>
        </w:rPr>
        <w:t>改进</w:t>
      </w:r>
      <w:r>
        <w:t>：在现有框架下无解，建议在投资组合中</w:t>
      </w:r>
      <w:r>
        <w:rPr>
          <w:b/>
          <w:bCs/>
        </w:rPr>
        <w:t>剔除</w:t>
      </w:r>
      <w:r>
        <w:t>或</w:t>
      </w:r>
      <w:r>
        <w:rPr>
          <w:b/>
          <w:bCs/>
        </w:rPr>
        <w:t>最小化</w:t>
      </w:r>
      <w:r>
        <w:t xml:space="preserve"> META 的权重。</w:t>
      </w:r>
    </w:p>
    <w:bookmarkEnd w:id="1"/>
    <w:bookmarkEnd w:id="7"/>
    <w:p w14:paraId="45537B31">
      <w:pPr>
        <w:pStyle w:val="4"/>
      </w:pPr>
      <w:bookmarkStart w:id="8" w:name="第1次迭代high-vol-组防御放宽"/>
      <w:r>
        <w:t>第1次迭代：High-Vol 组防御放宽</w:t>
      </w:r>
    </w:p>
    <w:p w14:paraId="6389031C">
      <w:pPr>
        <w:pStyle w:val="5"/>
      </w:pPr>
      <w:bookmarkStart w:id="9" w:name="实际效果-2026-03-03-iter-1---放宽-high-vol-防御"/>
      <w:r>
        <w:t>1.1 实际效果 (2026-03-03 Iter 1 - 放宽 High-Vol 防御)</w:t>
      </w:r>
    </w:p>
    <w:p w14:paraId="2A952507">
      <w:pPr>
        <w:pStyle w:val="23"/>
      </w:pPr>
      <w:r>
        <w:t xml:space="preserve">针对 High-Vol 组（MSFT, NVDA 等）“防御过当”的问题，我们实施了 Version 2.0 调整： * </w:t>
      </w:r>
      <w:r>
        <w:rPr>
          <w:b/>
          <w:bCs/>
        </w:rPr>
        <w:t>n_estimators</w:t>
      </w:r>
      <w:r>
        <w:t xml:space="preserve">: 80 -&gt; 120 * </w:t>
      </w:r>
      <w:r>
        <w:rPr>
          <w:b/>
          <w:bCs/>
        </w:rPr>
        <w:t>lambda_l1</w:t>
      </w:r>
      <w:r>
        <w:t xml:space="preserve">: 2.0 -&gt; 1.0 * </w:t>
      </w:r>
      <w:r>
        <w:rPr>
          <w:b/>
          <w:bCs/>
        </w:rPr>
        <w:t>min_child_samples</w:t>
      </w:r>
      <w:r>
        <w:t>: 50 -&gt; 30</w:t>
      </w:r>
    </w:p>
    <w:p w14:paraId="4DE586BD">
      <w:pPr>
        <w:pStyle w:val="6"/>
      </w:pPr>
      <w:bookmarkStart w:id="10" w:name="high-vol-组变化"/>
      <w:r>
        <w:t>(1) High-Vol 组变化</w:t>
      </w:r>
    </w:p>
    <w:p w14:paraId="57A0043E">
      <w:pPr>
        <w:pStyle w:val="24"/>
        <w:numPr>
          <w:ilvl w:val="0"/>
          <w:numId w:val="2"/>
        </w:numPr>
      </w:pPr>
      <w:r>
        <w:rPr>
          <w:b/>
          <w:bCs/>
        </w:rPr>
        <w:t>NVDA</w:t>
      </w:r>
      <w:r>
        <w:t xml:space="preserve">: 准确率从 36.4% 提升至 </w:t>
      </w:r>
      <w:r>
        <w:rPr>
          <w:b/>
          <w:bCs/>
        </w:rPr>
        <w:t>54.5%</w:t>
      </w:r>
      <w:r>
        <w:t>！放宽参数后，模型重新捕捉到了波动信号，方向判断显著改善。</w:t>
      </w:r>
    </w:p>
    <w:p w14:paraId="2B6ED282">
      <w:pPr>
        <w:pStyle w:val="24"/>
        <w:numPr>
          <w:ilvl w:val="0"/>
          <w:numId w:val="2"/>
        </w:numPr>
      </w:pPr>
      <w:r>
        <w:rPr>
          <w:b/>
          <w:bCs/>
        </w:rPr>
        <w:t>AVGO</w:t>
      </w:r>
      <w:r>
        <w:t xml:space="preserve">: 准确率从 36.4% 提升至 </w:t>
      </w:r>
      <w:r>
        <w:rPr>
          <w:b/>
          <w:bCs/>
        </w:rPr>
        <w:t>45.5%</w:t>
      </w:r>
      <w:r>
        <w:t>。</w:t>
      </w:r>
    </w:p>
    <w:p w14:paraId="444A4188">
      <w:pPr>
        <w:pStyle w:val="24"/>
        <w:numPr>
          <w:ilvl w:val="0"/>
          <w:numId w:val="2"/>
        </w:numPr>
      </w:pPr>
      <w:r>
        <w:rPr>
          <w:b/>
          <w:bCs/>
        </w:rPr>
        <w:t>MSFT</w:t>
      </w:r>
      <w:r>
        <w:t>: 准确率维持在 36.4%。回归预测曲线虽然仍平滑，但波幅略有扩大，不再是完全的“死心电图”。</w:t>
      </w:r>
    </w:p>
    <w:p w14:paraId="39793594">
      <w:pPr>
        <w:pStyle w:val="24"/>
        <w:numPr>
          <w:ilvl w:val="0"/>
          <w:numId w:val="2"/>
        </w:numPr>
      </w:pPr>
      <w:r>
        <w:rPr>
          <w:b/>
          <w:bCs/>
        </w:rPr>
        <w:t>META</w:t>
      </w:r>
      <w:r>
        <w:t>: 依然 18.2%。这块硬骨头确实难啃，纯量价参数调整对其无效。</w:t>
      </w:r>
    </w:p>
    <w:bookmarkEnd w:id="10"/>
    <w:p w14:paraId="762A3E70">
      <w:pPr>
        <w:pStyle w:val="6"/>
      </w:pPr>
      <w:bookmarkStart w:id="11" w:name="stable-组与-index-组-未变动"/>
      <w:r>
        <w:t>(2) Stable 组与 Index 组 (未变动)</w:t>
      </w:r>
    </w:p>
    <w:p w14:paraId="03E7810B">
      <w:pPr>
        <w:pStyle w:val="24"/>
        <w:numPr>
          <w:ilvl w:val="0"/>
          <w:numId w:val="2"/>
        </w:numPr>
      </w:pPr>
      <w:r>
        <w:rPr>
          <w:b/>
          <w:bCs/>
        </w:rPr>
        <w:t>Index</w:t>
      </w:r>
      <w:r>
        <w:t>: SPY (81.8%), AU0 (100%) 保持高水准。</w:t>
      </w:r>
    </w:p>
    <w:p w14:paraId="71128AEA">
      <w:pPr>
        <w:pStyle w:val="24"/>
        <w:numPr>
          <w:ilvl w:val="0"/>
          <w:numId w:val="2"/>
        </w:numPr>
      </w:pPr>
      <w:r>
        <w:rPr>
          <w:b/>
          <w:bCs/>
        </w:rPr>
        <w:t>Stable</w:t>
      </w:r>
      <w:r>
        <w:t>: AAPL (63.6%) 表现稳健，ORCL (18.2%) 和 TSMC (27.3%) 依然在低位徘徊，特别是 ORCL 相比之前的 27.3% 甚至有所下降（可能是随机性波动）。</w:t>
      </w:r>
    </w:p>
    <w:bookmarkEnd w:id="9"/>
    <w:bookmarkEnd w:id="11"/>
    <w:p w14:paraId="0DF37972">
      <w:pPr>
        <w:pStyle w:val="5"/>
      </w:pPr>
      <w:bookmarkStart w:id="12" w:name="问题与改进分析-1"/>
      <w:r>
        <w:t>1.2 问题与改进分析</w:t>
      </w:r>
    </w:p>
    <w:p w14:paraId="3C1BC846">
      <w:pPr>
        <w:pStyle w:val="24"/>
        <w:numPr>
          <w:ilvl w:val="0"/>
          <w:numId w:val="4"/>
        </w:numPr>
      </w:pPr>
      <w:r>
        <w:rPr>
          <w:b/>
          <w:bCs/>
        </w:rPr>
        <w:t>Stable 组优化</w:t>
      </w:r>
      <w:r>
        <w:t>：</w:t>
      </w:r>
    </w:p>
    <w:p w14:paraId="07121203">
      <w:pPr>
        <w:pStyle w:val="24"/>
        <w:numPr>
          <w:ilvl w:val="1"/>
          <w:numId w:val="2"/>
        </w:numPr>
      </w:pPr>
      <w:r>
        <w:t>ORCL 和 TSMC 的准确率依然偏低，说明“中庸”策略（均值回归）可能并不完全适用。</w:t>
      </w:r>
    </w:p>
    <w:p w14:paraId="5B30056C">
      <w:pPr>
        <w:pStyle w:val="24"/>
        <w:numPr>
          <w:ilvl w:val="1"/>
          <w:numId w:val="2"/>
        </w:numPr>
      </w:pPr>
      <w:r>
        <w:rPr>
          <w:b/>
          <w:bCs/>
        </w:rPr>
        <w:t>改进</w:t>
      </w:r>
      <w:r>
        <w:t xml:space="preserve">：引入 </w:t>
      </w:r>
      <w:r>
        <w:rPr>
          <w:b/>
          <w:bCs/>
        </w:rPr>
        <w:t>Bagging (Subsample)</w:t>
      </w:r>
      <w:r>
        <w:t>。对于这类稳健股，增加随机采样（subsample=0.7, bagging_freq=5）可能有助于跳出局部最优，减少对特定噪音的过拟合。</w:t>
      </w:r>
    </w:p>
    <w:p w14:paraId="31ABD661">
      <w:pPr>
        <w:pStyle w:val="24"/>
        <w:numPr>
          <w:ilvl w:val="0"/>
          <w:numId w:val="4"/>
        </w:numPr>
      </w:pPr>
      <w:r>
        <w:rPr>
          <w:b/>
          <w:bCs/>
        </w:rPr>
        <w:t>维持 High-Vol 现状</w:t>
      </w:r>
      <w:r>
        <w:t>：</w:t>
      </w:r>
    </w:p>
    <w:p w14:paraId="1862A9AA">
      <w:pPr>
        <w:pStyle w:val="24"/>
        <w:numPr>
          <w:ilvl w:val="1"/>
          <w:numId w:val="2"/>
        </w:numPr>
      </w:pPr>
      <w:r>
        <w:t>NVDA 的提升令人鼓舞，说明适度放宽是正确的。暂维持当前参数。</w:t>
      </w:r>
    </w:p>
    <w:p w14:paraId="53EB0804">
      <w:pPr>
        <w:pStyle w:val="24"/>
        <w:numPr>
          <w:ilvl w:val="0"/>
          <w:numId w:val="4"/>
        </w:numPr>
      </w:pPr>
      <w:r>
        <w:rPr>
          <w:b/>
          <w:bCs/>
        </w:rPr>
        <w:t>META 放弃治疗</w:t>
      </w:r>
      <w:r>
        <w:t>：</w:t>
      </w:r>
    </w:p>
    <w:p w14:paraId="07105879">
      <w:pPr>
        <w:pStyle w:val="24"/>
        <w:numPr>
          <w:ilvl w:val="1"/>
          <w:numId w:val="2"/>
        </w:numPr>
      </w:pPr>
      <w:r>
        <w:t>确认仅靠参数调整无法挽救 META，建议在投资组合构建时对其进行</w:t>
      </w:r>
      <w:r>
        <w:rPr>
          <w:b/>
          <w:bCs/>
        </w:rPr>
        <w:t>黑名单处理</w:t>
      </w:r>
      <w:r>
        <w:t>或</w:t>
      </w:r>
      <w:r>
        <w:rPr>
          <w:b/>
          <w:bCs/>
        </w:rPr>
        <w:t>极低权重</w:t>
      </w:r>
      <w:r>
        <w:t>。</w:t>
      </w:r>
    </w:p>
    <w:bookmarkEnd w:id="8"/>
    <w:bookmarkEnd w:id="12"/>
    <w:p w14:paraId="37B12961">
      <w:pPr>
        <w:pStyle w:val="4"/>
      </w:pPr>
      <w:bookmarkStart w:id="13" w:name="第2次迭代stable-组引入-bagging"/>
      <w:r>
        <w:t>第2次迭代：Stable 组引入 Bagging</w:t>
      </w:r>
    </w:p>
    <w:p w14:paraId="319A7830">
      <w:pPr>
        <w:pStyle w:val="5"/>
      </w:pPr>
      <w:bookmarkStart w:id="14" w:name="X65f9f871dc2dce724888d2af7d107e2c5883b9c"/>
      <w:r>
        <w:t>2.1 实际效果 (2026-03-03 Iter 2 - Stable 组引入 Bagging)</w:t>
      </w:r>
    </w:p>
    <w:p w14:paraId="788DA72F">
      <w:pPr>
        <w:pStyle w:val="23"/>
      </w:pPr>
      <w:r>
        <w:t xml:space="preserve">针对 Stable 组（ORCL, TSMC）准确率偏低的问题，我们实施了 Version 2.1 调整： * </w:t>
      </w:r>
      <w:r>
        <w:rPr>
          <w:b/>
          <w:bCs/>
        </w:rPr>
        <w:t>subsample</w:t>
      </w:r>
      <w:r>
        <w:t xml:space="preserve">: 0.7 * </w:t>
      </w:r>
      <w:r>
        <w:rPr>
          <w:b/>
          <w:bCs/>
        </w:rPr>
        <w:t>subsample_freq</w:t>
      </w:r>
      <w:r>
        <w:t>: 5</w:t>
      </w:r>
    </w:p>
    <w:p w14:paraId="5DBC698C">
      <w:pPr>
        <w:pStyle w:val="6"/>
      </w:pPr>
      <w:bookmarkStart w:id="15" w:name="stable-组变化"/>
      <w:r>
        <w:t>(1) Stable 组变化</w:t>
      </w:r>
    </w:p>
    <w:p w14:paraId="0FB22C01">
      <w:pPr>
        <w:pStyle w:val="24"/>
        <w:numPr>
          <w:ilvl w:val="0"/>
          <w:numId w:val="2"/>
        </w:numPr>
      </w:pPr>
      <w:r>
        <w:rPr>
          <w:b/>
          <w:bCs/>
        </w:rPr>
        <w:t>TSMC</w:t>
      </w:r>
      <w:r>
        <w:t xml:space="preserve">: 准确率从 27.3% 飙升至 </w:t>
      </w:r>
      <w:r>
        <w:rPr>
          <w:b/>
          <w:bCs/>
        </w:rPr>
        <w:t>45.5%</w:t>
      </w:r>
      <w:r>
        <w:t>！Bagging 策略成功帮助模型跳出了局部最优，捕捉到了更多趋势信号。</w:t>
      </w:r>
    </w:p>
    <w:p w14:paraId="2F8238C3">
      <w:pPr>
        <w:pStyle w:val="24"/>
        <w:numPr>
          <w:ilvl w:val="0"/>
          <w:numId w:val="2"/>
        </w:numPr>
      </w:pPr>
      <w:r>
        <w:rPr>
          <w:b/>
          <w:bCs/>
        </w:rPr>
        <w:t>GOOGL</w:t>
      </w:r>
      <w:r>
        <w:t>: 准确率维持在 45.5%。</w:t>
      </w:r>
    </w:p>
    <w:p w14:paraId="6326E3BE">
      <w:pPr>
        <w:pStyle w:val="24"/>
        <w:numPr>
          <w:ilvl w:val="0"/>
          <w:numId w:val="2"/>
        </w:numPr>
      </w:pPr>
      <w:r>
        <w:rPr>
          <w:b/>
          <w:bCs/>
        </w:rPr>
        <w:t>AMZN</w:t>
      </w:r>
      <w:r>
        <w:t>: 准确率维持在 45.5%。</w:t>
      </w:r>
    </w:p>
    <w:p w14:paraId="79038338">
      <w:pPr>
        <w:pStyle w:val="24"/>
        <w:numPr>
          <w:ilvl w:val="0"/>
          <w:numId w:val="2"/>
        </w:numPr>
      </w:pPr>
      <w:r>
        <w:rPr>
          <w:b/>
          <w:bCs/>
        </w:rPr>
        <w:t>AAPL</w:t>
      </w:r>
      <w:r>
        <w:t>: 准确率维持在 63.6%。</w:t>
      </w:r>
    </w:p>
    <w:p w14:paraId="17CE9E09">
      <w:pPr>
        <w:pStyle w:val="24"/>
        <w:numPr>
          <w:ilvl w:val="0"/>
          <w:numId w:val="2"/>
        </w:numPr>
      </w:pPr>
      <w:r>
        <w:rPr>
          <w:b/>
          <w:bCs/>
        </w:rPr>
        <w:t>ORCL</w:t>
      </w:r>
      <w:r>
        <w:t>: 准确率从 18.2% 回升至 18.2%（无变化）。这说明 ORCL 的问题可能不在于过拟合，而是特征本身缺乏解释力。</w:t>
      </w:r>
    </w:p>
    <w:bookmarkEnd w:id="15"/>
    <w:p w14:paraId="4CF01697">
      <w:pPr>
        <w:pStyle w:val="6"/>
      </w:pPr>
      <w:bookmarkStart w:id="16" w:name="其他组变化-high-vol-index"/>
      <w:r>
        <w:t>(2) 其他组变化 (High-Vol &amp; Index)</w:t>
      </w:r>
    </w:p>
    <w:p w14:paraId="5BE87171">
      <w:pPr>
        <w:pStyle w:val="24"/>
        <w:numPr>
          <w:ilvl w:val="0"/>
          <w:numId w:val="2"/>
        </w:numPr>
      </w:pPr>
      <w:r>
        <w:t>由于参数未变，NVDA (54.5%) 和 SPY (81.8%) 等保持了上一轮的良好表现。</w:t>
      </w:r>
    </w:p>
    <w:bookmarkEnd w:id="14"/>
    <w:bookmarkEnd w:id="16"/>
    <w:p w14:paraId="2B052E70">
      <w:pPr>
        <w:pStyle w:val="5"/>
      </w:pPr>
      <w:bookmarkStart w:id="17" w:name="问题与改进分析-2"/>
      <w:r>
        <w:t>2.2 问题与改进分析</w:t>
      </w:r>
    </w:p>
    <w:p w14:paraId="4EF74E3C">
      <w:pPr>
        <w:pStyle w:val="23"/>
      </w:pPr>
      <w:r>
        <w:t>虽然 Bagging 策略挽救了 TSMC，但目前的优化已进入瓶颈期。单纯的参数调整无法解决 ORCL 和 META 的顽疾。此外，High-Vol 组虽然准确率提升，但</w:t>
      </w:r>
      <w:r>
        <w:rPr>
          <w:b/>
          <w:bCs/>
        </w:rPr>
        <w:t>特征重要性 (Feature Importance) 出现异常</w:t>
      </w:r>
      <w:r>
        <w:t>，导致无法解释模型决策。</w:t>
      </w:r>
    </w:p>
    <w:bookmarkEnd w:id="13"/>
    <w:bookmarkEnd w:id="17"/>
    <w:p w14:paraId="31A4609B">
      <w:pPr>
        <w:pStyle w:val="4"/>
      </w:pPr>
      <w:bookmarkStart w:id="18" w:name="第3次迭代high-vol-组特征饥饿修复"/>
      <w:r>
        <w:t>第3次迭代：High-Vol 组特征“饥饿”修复</w:t>
      </w:r>
    </w:p>
    <w:p w14:paraId="2386F68C">
      <w:pPr>
        <w:pStyle w:val="5"/>
      </w:pPr>
      <w:bookmarkStart w:id="19" w:name="实际效果-2026-03-04-iter-3---high-vol-组特征修复"/>
      <w:r>
        <w:t>3.1 实际效果 (2026-03-04 Iter 3 - High-Vol 组特征修复)</w:t>
      </w:r>
    </w:p>
    <w:p w14:paraId="052EAFA0">
      <w:pPr>
        <w:pStyle w:val="23"/>
      </w:pPr>
      <w:r>
        <w:t xml:space="preserve">针对检查 </w:t>
      </w:r>
      <w:r>
        <w:rPr>
          <w:rStyle w:val="37"/>
        </w:rPr>
        <w:t>models.json</w:t>
      </w:r>
      <w:r>
        <w:t xml:space="preserve"> 时发现 </w:t>
      </w:r>
      <w:r>
        <w:rPr>
          <w:b/>
          <w:bCs/>
        </w:rPr>
        <w:t>NVDA, MSFT</w:t>
      </w:r>
      <w:r>
        <w:t xml:space="preserve"> 等 High-Vol 组资产 </w:t>
      </w:r>
      <w:r>
        <w:rPr>
          <w:rStyle w:val="37"/>
        </w:rPr>
        <w:t>feature_importances</w:t>
      </w:r>
      <w:r>
        <w:t xml:space="preserve"> 全为 </w:t>
      </w:r>
      <w:r>
        <w:rPr>
          <w:b/>
          <w:bCs/>
        </w:rPr>
        <w:t>0.0</w:t>
      </w:r>
      <w:r>
        <w:t xml:space="preserve"> 的“特征饥饿”问题，我们实施了 Version 3.0 调整： * </w:t>
      </w:r>
      <w:r>
        <w:rPr>
          <w:b/>
          <w:bCs/>
        </w:rPr>
        <w:t>reg_alpha (L1)</w:t>
      </w:r>
      <w:r>
        <w:t xml:space="preserve">: 1.0 -&gt; </w:t>
      </w:r>
      <w:r>
        <w:rPr>
          <w:b/>
          <w:bCs/>
        </w:rPr>
        <w:t>0.01</w:t>
      </w:r>
      <w:r>
        <w:t xml:space="preserve"> (大幅降低，允许特征进入) * </w:t>
      </w:r>
      <w:r>
        <w:rPr>
          <w:b/>
          <w:bCs/>
        </w:rPr>
        <w:t>reg_lambda (L2)</w:t>
      </w:r>
      <w:r>
        <w:t xml:space="preserve">: 2.0 -&gt; </w:t>
      </w:r>
      <w:r>
        <w:rPr>
          <w:b/>
          <w:bCs/>
        </w:rPr>
        <w:t>0.1</w:t>
      </w:r>
      <w:r>
        <w:t xml:space="preserve"> (大幅降低) * </w:t>
      </w:r>
      <w:r>
        <w:rPr>
          <w:b/>
          <w:bCs/>
        </w:rPr>
        <w:t>n_estimators</w:t>
      </w:r>
      <w:r>
        <w:t xml:space="preserve">: 120 -&gt; </w:t>
      </w:r>
      <w:r>
        <w:rPr>
          <w:b/>
          <w:bCs/>
        </w:rPr>
        <w:t>150</w:t>
      </w:r>
      <w:r>
        <w:t xml:space="preserve"> (增加学习轮数) * </w:t>
      </w:r>
      <w:r>
        <w:rPr>
          <w:b/>
          <w:bCs/>
        </w:rPr>
        <w:t>num_leaves</w:t>
      </w:r>
      <w:r>
        <w:t xml:space="preserve">: 15 -&gt; </w:t>
      </w:r>
      <w:r>
        <w:rPr>
          <w:b/>
          <w:bCs/>
        </w:rPr>
        <w:t>20</w:t>
      </w:r>
      <w:r>
        <w:t xml:space="preserve"> (增加复杂度) * </w:t>
      </w:r>
      <w:r>
        <w:rPr>
          <w:b/>
          <w:bCs/>
        </w:rPr>
        <w:t>min_child_samples</w:t>
      </w:r>
      <w:r>
        <w:t xml:space="preserve">: 30 -&gt; </w:t>
      </w:r>
      <w:r>
        <w:rPr>
          <w:b/>
          <w:bCs/>
        </w:rPr>
        <w:t>20</w:t>
      </w:r>
      <w:r>
        <w:t xml:space="preserve"> (允许捕捉更细微的模式)</w:t>
      </w:r>
    </w:p>
    <w:p w14:paraId="53DBF305">
      <w:pPr>
        <w:pStyle w:val="6"/>
      </w:pPr>
      <w:bookmarkStart w:id="20" w:name="特征重要性恢复"/>
      <w:r>
        <w:t>(1) 特征重要性恢复</w:t>
      </w:r>
    </w:p>
    <w:p w14:paraId="48F5A2FF">
      <w:pPr>
        <w:pStyle w:val="24"/>
        <w:numPr>
          <w:ilvl w:val="0"/>
          <w:numId w:val="2"/>
        </w:numPr>
      </w:pPr>
      <w:r>
        <w:rPr>
          <w:b/>
          <w:bCs/>
        </w:rPr>
        <w:t>NVDA/MSFT</w:t>
      </w:r>
      <w:r>
        <w:t xml:space="preserve">: 检查 </w:t>
      </w:r>
      <w:r>
        <w:rPr>
          <w:rStyle w:val="37"/>
        </w:rPr>
        <w:t>models.json</w:t>
      </w:r>
      <w:r>
        <w:t xml:space="preserve"> 发现，NVDA 的 Top 特征（如 </w:t>
      </w:r>
      <w:r>
        <w:rPr>
          <w:rStyle w:val="37"/>
        </w:rPr>
        <w:t>roll_std_20</w:t>
      </w:r>
      <w:r>
        <w:t xml:space="preserve">, </w:t>
      </w:r>
      <w:r>
        <w:rPr>
          <w:rStyle w:val="37"/>
        </w:rPr>
        <w:t>mom_60</w:t>
      </w:r>
      <w:r>
        <w:t>）重要性得分已恢复至正常水平（~200+），不再是全零。MSFT 也开始利用 Lag 和 Rolling Mean 进行预测。</w:t>
      </w:r>
    </w:p>
    <w:p w14:paraId="277D1294">
      <w:pPr>
        <w:pStyle w:val="24"/>
        <w:numPr>
          <w:ilvl w:val="0"/>
          <w:numId w:val="2"/>
        </w:numPr>
      </w:pPr>
      <w:r>
        <w:rPr>
          <w:b/>
          <w:bCs/>
        </w:rPr>
        <w:t>解释性增强</w:t>
      </w:r>
      <w:r>
        <w:t>: 我们现在可以确认模型是基于波动率（Rolling Std）和动量（Momentum）做出的判断，而非黑盒猜测。</w:t>
      </w:r>
    </w:p>
    <w:bookmarkEnd w:id="20"/>
    <w:p w14:paraId="775AFFBF">
      <w:pPr>
        <w:pStyle w:val="6"/>
      </w:pPr>
      <w:bookmarkStart w:id="21" w:name="模型表现"/>
      <w:r>
        <w:t>(2) 模型表现</w:t>
      </w:r>
    </w:p>
    <w:p w14:paraId="08F5B815">
      <w:pPr>
        <w:pStyle w:val="24"/>
        <w:numPr>
          <w:ilvl w:val="0"/>
          <w:numId w:val="2"/>
        </w:numPr>
      </w:pPr>
      <w:r>
        <w:rPr>
          <w:b/>
          <w:bCs/>
        </w:rPr>
        <w:t>NVDA</w:t>
      </w:r>
      <w:r>
        <w:t xml:space="preserve">: 准确率保持在 </w:t>
      </w:r>
      <w:r>
        <w:rPr>
          <w:b/>
          <w:bCs/>
        </w:rPr>
        <w:t>54.5%</w:t>
      </w:r>
      <w:r>
        <w:t>（甚至更高），且具有了可解释性。</w:t>
      </w:r>
    </w:p>
    <w:p w14:paraId="40E61834">
      <w:pPr>
        <w:pStyle w:val="24"/>
        <w:numPr>
          <w:ilvl w:val="0"/>
          <w:numId w:val="2"/>
        </w:numPr>
      </w:pPr>
      <w:r>
        <w:rPr>
          <w:b/>
          <w:bCs/>
        </w:rPr>
        <w:t>MSFT</w:t>
      </w:r>
      <w:r>
        <w:t>: 预测逻辑更加透明，不再是简单的均值填充。</w:t>
      </w:r>
    </w:p>
    <w:bookmarkEnd w:id="19"/>
    <w:bookmarkEnd w:id="21"/>
    <w:p w14:paraId="15929DCF">
      <w:pPr>
        <w:pStyle w:val="5"/>
      </w:pPr>
      <w:bookmarkStart w:id="22" w:name="问题与改进分析-3"/>
      <w:r>
        <w:t>3.2 问题与改进分析</w:t>
      </w:r>
    </w:p>
    <w:p w14:paraId="143D76A1">
      <w:pPr>
        <w:pStyle w:val="24"/>
        <w:numPr>
          <w:ilvl w:val="0"/>
          <w:numId w:val="5"/>
        </w:numPr>
      </w:pPr>
      <w:r>
        <w:rPr>
          <w:b/>
          <w:bCs/>
        </w:rPr>
        <w:t>特征饥饿问题的解决 (Feature Starvation Resolved)</w:t>
      </w:r>
      <w:r>
        <w:t>：</w:t>
      </w:r>
    </w:p>
    <w:p w14:paraId="38B3FF68">
      <w:pPr>
        <w:pStyle w:val="24"/>
        <w:numPr>
          <w:ilvl w:val="1"/>
          <w:numId w:val="2"/>
        </w:numPr>
      </w:pPr>
      <w:r>
        <w:rPr>
          <w:b/>
          <w:bCs/>
        </w:rPr>
        <w:t>现象回顾</w:t>
      </w:r>
      <w:r>
        <w:t>：前两次迭代中，High-Vol 组的强正则化（L1=2.0）导致模型将所有特征系数压缩为零，仅剩 Bias。</w:t>
      </w:r>
    </w:p>
    <w:p w14:paraId="0FFBC624">
      <w:pPr>
        <w:pStyle w:val="24"/>
        <w:numPr>
          <w:ilvl w:val="1"/>
          <w:numId w:val="2"/>
        </w:numPr>
      </w:pPr>
      <w:r>
        <w:rPr>
          <w:b/>
          <w:bCs/>
        </w:rPr>
        <w:t>成效</w:t>
      </w:r>
      <w:r>
        <w:t>：降低正则化后，模型成功“看到”了微弱的特征信号。</w:t>
      </w:r>
    </w:p>
    <w:p w14:paraId="03D8493B">
      <w:pPr>
        <w:pStyle w:val="24"/>
        <w:numPr>
          <w:ilvl w:val="0"/>
          <w:numId w:val="5"/>
        </w:numPr>
      </w:pPr>
      <w:r>
        <w:rPr>
          <w:b/>
          <w:bCs/>
        </w:rPr>
        <w:t>下一步改进计划 (Iter 4)</w:t>
      </w:r>
      <w:r>
        <w:t>：</w:t>
      </w:r>
    </w:p>
    <w:p w14:paraId="2B63967B">
      <w:pPr>
        <w:pStyle w:val="24"/>
        <w:numPr>
          <w:ilvl w:val="1"/>
          <w:numId w:val="2"/>
        </w:numPr>
      </w:pPr>
      <w:r>
        <w:rPr>
          <w:b/>
          <w:bCs/>
        </w:rPr>
        <w:t>前端重构</w:t>
      </w:r>
      <w:r>
        <w:t xml:space="preserve">：既然特征重要性已修复，下一步将重点放在 </w:t>
      </w:r>
      <w:r>
        <w:rPr>
          <w:b/>
          <w:bCs/>
        </w:rPr>
        <w:t>“投资信号仪表盘”</w:t>
      </w:r>
      <w:r>
        <w:t xml:space="preserve"> 的开发上，废除单一的回归/分类表格，将复杂的模型输出转化为直观的 Buy/Sell 信号。</w:t>
      </w:r>
    </w:p>
    <w:p w14:paraId="71B3643B">
      <w:pPr>
        <w:pStyle w:val="24"/>
        <w:numPr>
          <w:ilvl w:val="1"/>
          <w:numId w:val="2"/>
        </w:numPr>
      </w:pPr>
      <w:r>
        <w:rPr>
          <w:b/>
          <w:bCs/>
        </w:rPr>
        <w:t>特征工程</w:t>
      </w:r>
      <w:r>
        <w:t>：针对 ORCL 等“死猪”股票，考虑引入外部因子（如纳指 QQQ 作为特征），看能否打破僵局。</w:t>
      </w:r>
    </w:p>
    <w:p w14:paraId="65BE6FC8">
      <w:pPr>
        <w:pStyle w:val="24"/>
        <w:numPr>
          <w:numId w:val="0"/>
        </w:numPr>
        <w:spacing w:before="36" w:after="36"/>
      </w:pPr>
    </w:p>
    <w:p w14:paraId="14CDDFCF">
      <w:pPr>
        <w:pStyle w:val="24"/>
        <w:numPr>
          <w:numId w:val="0"/>
        </w:numPr>
        <w:spacing w:before="36" w:after="36"/>
      </w:pPr>
    </w:p>
    <w:p w14:paraId="12E62103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1. Index/Trend (Aggressive)</w:t>
      </w:r>
    </w:p>
    <w:p w14:paraId="1DC037A4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ticker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'SPY'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'AU0'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]:</w:t>
      </w:r>
    </w:p>
    <w:p w14:paraId="6178EDDA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spec_params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21"/>
          <w:szCs w:val="21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{</w:t>
      </w:r>
    </w:p>
    <w:p w14:paraId="5C015BA6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'n_estimators'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</w:t>
      </w:r>
    </w:p>
    <w:p w14:paraId="1645F356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'num_leaves'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</w:t>
      </w:r>
    </w:p>
    <w:p w14:paraId="06A9B63D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'learning_rate'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</w:t>
      </w:r>
    </w:p>
    <w:p w14:paraId="1FC675B3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'reg_alpha'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lambda_l1</w:t>
      </w:r>
    </w:p>
    <w:p w14:paraId="79E19444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'reg_lambda'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lambda_l2</w:t>
      </w:r>
    </w:p>
    <w:p w14:paraId="0DF33DB1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            }</w:t>
      </w:r>
    </w:p>
    <w:p w14:paraId="00804DBE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</w:t>
      </w:r>
    </w:p>
    <w:p w14:paraId="4E94C4CF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2. High-Vol/AI (Defensive) -&gt; Relaxed (Iter 3 - Fix Feature Starvation)</w:t>
      </w:r>
    </w:p>
    <w:p w14:paraId="5DA57825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ticker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'MSFT'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'META'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'NVDA'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'AVGO'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'ASML'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]:</w:t>
      </w:r>
    </w:p>
    <w:p w14:paraId="0E9C4797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spec_params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21"/>
          <w:szCs w:val="21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{</w:t>
      </w:r>
    </w:p>
    <w:p w14:paraId="5D15F71A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'n_estimators'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    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Balanced</w:t>
      </w:r>
    </w:p>
    <w:p w14:paraId="3817C9C7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'num_leaves'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Balanced</w:t>
      </w:r>
    </w:p>
    <w:p w14:paraId="303A9133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'reg_alpha'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Very light L1 to allow features</w:t>
      </w:r>
    </w:p>
    <w:p w14:paraId="1BEA5F92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'reg_lambda'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Light L2</w:t>
      </w:r>
    </w:p>
    <w:p w14:paraId="547B2E24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'min_child_samples'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Standard</w:t>
      </w:r>
    </w:p>
    <w:p w14:paraId="6199F9DF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'colsample_bytree'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Standard</w:t>
      </w:r>
    </w:p>
    <w:p w14:paraId="6C25A6CA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            }</w:t>
      </w:r>
    </w:p>
    <w:p w14:paraId="0E022540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"DEBUG: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21"/>
          <w:szCs w:val="21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ticker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21"/>
          <w:szCs w:val="21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params: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21"/>
          <w:szCs w:val="21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spec_params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21"/>
          <w:szCs w:val="21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)</w:t>
      </w:r>
    </w:p>
    <w:p w14:paraId="0893319C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</w:t>
      </w:r>
    </w:p>
    <w:p w14:paraId="486ACC38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3. Stable/Other (Neutral) -&gt; Bagging (Iter 2)</w:t>
      </w:r>
    </w:p>
    <w:p w14:paraId="28F433DB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:</w:t>
      </w:r>
    </w:p>
    <w:p w14:paraId="44B84774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spec_params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21"/>
          <w:szCs w:val="21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{</w:t>
      </w:r>
    </w:p>
    <w:p w14:paraId="374BE85B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'n_estimators'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</w:t>
      </w:r>
    </w:p>
    <w:p w14:paraId="28AF1FBF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'num_leaves'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</w:t>
      </w:r>
    </w:p>
    <w:p w14:paraId="3C493974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'reg_alpha'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</w:t>
      </w:r>
    </w:p>
    <w:p w14:paraId="0BB623AB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'min_child_samples'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,</w:t>
      </w:r>
    </w:p>
    <w:p w14:paraId="196C53F3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'subsample'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Enable bagging</w:t>
      </w:r>
    </w:p>
    <w:p w14:paraId="095F7532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'subsample_freq'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21"/>
          <w:szCs w:val="21"/>
          <w:shd w:val="clear" w:fill="1A1B1D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# Bagging every 5 iterations</w:t>
      </w:r>
    </w:p>
    <w:p w14:paraId="7A4C6D9F">
      <w:pPr>
        <w:keepNext w:val="0"/>
        <w:keepLines w:val="0"/>
        <w:widowControl/>
        <w:suppressLineNumbers w:val="0"/>
        <w:shd w:val="clear" w:fill="1A1B1D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21"/>
          <w:szCs w:val="21"/>
          <w:shd w:val="clear" w:fill="1A1B1D"/>
          <w:lang w:val="en-US" w:eastAsia="zh-CN" w:bidi="ar"/>
        </w:rPr>
        <w:t>            }</w:t>
      </w:r>
    </w:p>
    <w:p w14:paraId="68E2127C">
      <w:pPr>
        <w:keepNext w:val="0"/>
        <w:keepLines w:val="0"/>
        <w:widowControl/>
        <w:suppressLineNumbers w:val="0"/>
        <w:shd w:val="clear" w:fill="1A1B1D"/>
        <w:spacing w:line="132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7"/>
          <w:szCs w:val="7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7"/>
          <w:szCs w:val="7"/>
          <w:shd w:val="clear" w:fill="1A1B1D"/>
          <w:lang w:val="en-US" w:eastAsia="zh-CN" w:bidi="ar"/>
        </w:rPr>
        <w:t xml:space="preserve">        </w:t>
      </w:r>
    </w:p>
    <w:p w14:paraId="46C3631E">
      <w:pPr>
        <w:pStyle w:val="24"/>
        <w:numPr>
          <w:numId w:val="0"/>
        </w:numPr>
        <w:spacing w:before="36" w:after="36"/>
      </w:pPr>
    </w:p>
    <w:p w14:paraId="2DC8929A">
      <w:pPr>
        <w:pStyle w:val="24"/>
        <w:numPr>
          <w:numId w:val="0"/>
        </w:numPr>
        <w:spacing w:before="36" w:after="36"/>
        <w:rPr>
          <w:rFonts w:hint="eastAsia"/>
        </w:rPr>
      </w:pPr>
    </w:p>
    <w:p w14:paraId="26D379BC">
      <w:pPr>
        <w:pStyle w:val="24"/>
        <w:numPr>
          <w:numId w:val="0"/>
        </w:numPr>
        <w:spacing w:before="36" w:after="36"/>
        <w:rPr>
          <w:rFonts w:hint="eastAsia"/>
        </w:rPr>
      </w:pPr>
    </w:p>
    <w:p w14:paraId="6A2FED8F">
      <w:pPr>
        <w:pStyle w:val="24"/>
        <w:numPr>
          <w:numId w:val="0"/>
        </w:numPr>
        <w:spacing w:before="36" w:after="36"/>
      </w:pPr>
    </w:p>
    <w:bookmarkEnd w:id="0"/>
    <w:bookmarkEnd w:id="18"/>
    <w:bookmarkEnd w:id="2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E6952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2398</Words>
  <Characters>3878</Characters>
  <Lines>12</Lines>
  <Paragraphs>8</Paragraphs>
  <TotalTime>44</TotalTime>
  <ScaleCrop>false</ScaleCrop>
  <LinksUpToDate>false</LinksUpToDate>
  <CharactersWithSpaces>4243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2026-03-04T07:51:00Z</dcterms:created>
  <dc:creator>青翾墨</dc:creator>
  <cp:lastModifiedBy>青翾墨</cp:lastModifiedBy>
  <dcterms:modified xsi:type="dcterms:W3CDTF">2026-03-04T08:49:35Z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eyJoZGlkIjoiZWU1MmY3M2Q5MjczYTRjNDA3Y2E1YmY0YjVmN2Y4YmYiLCJ1c2VySWQiOiI5MjE0NzU3MDgifQ==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ED4AD3BAC657490A86B2EFC5A49DA09B_12</vt:lpwstr>
  </property>
</Properties>
</file>