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DB2B6" w14:textId="77777777" w:rsidR="009756C3" w:rsidRPr="00A12D7A" w:rsidRDefault="009756C3" w:rsidP="00A12D7A">
      <w:pPr>
        <w:pStyle w:val="1"/>
      </w:pPr>
      <w:bookmarkStart w:id="0" w:name="_Toc222556920"/>
      <w:r w:rsidRPr="00A12D7A">
        <w:rPr>
          <w:rFonts w:hint="eastAsia"/>
        </w:rPr>
        <w:t>附錄四</w:t>
      </w:r>
      <w:r w:rsidRPr="00A12D7A">
        <w:rPr>
          <w:rFonts w:hint="eastAsia"/>
        </w:rPr>
        <w:t xml:space="preserve">  </w:t>
      </w:r>
      <w:r w:rsidRPr="00A12D7A">
        <w:rPr>
          <w:rFonts w:hint="eastAsia"/>
        </w:rPr>
        <w:t>新進藥品之申請規定</w:t>
      </w:r>
      <w:bookmarkEnd w:id="0"/>
    </w:p>
    <w:p w14:paraId="781DB2B7" w14:textId="77777777" w:rsidR="009756C3" w:rsidRDefault="009756C3" w:rsidP="009756C3">
      <w:pPr>
        <w:pStyle w:val="a7"/>
      </w:pPr>
    </w:p>
    <w:p w14:paraId="781DB2B8" w14:textId="77777777" w:rsidR="009756C3" w:rsidRPr="00A12D7A" w:rsidRDefault="009756C3" w:rsidP="009756C3">
      <w:pPr>
        <w:pStyle w:val="a7"/>
        <w:ind w:left="480" w:hanging="480"/>
        <w:rPr>
          <w:sz w:val="24"/>
          <w:szCs w:val="24"/>
        </w:rPr>
      </w:pPr>
      <w:r w:rsidRPr="00A12D7A">
        <w:rPr>
          <w:rFonts w:hint="eastAsia"/>
          <w:sz w:val="24"/>
          <w:szCs w:val="24"/>
        </w:rPr>
        <w:t>新進藥品流程如下</w:t>
      </w:r>
      <w:r w:rsidRPr="00A12D7A">
        <w:rPr>
          <w:sz w:val="24"/>
          <w:szCs w:val="24"/>
        </w:rPr>
        <w:t>：</w:t>
      </w:r>
    </w:p>
    <w:p w14:paraId="781DB2B9" w14:textId="77777777" w:rsidR="009756C3" w:rsidRPr="00A12D7A" w:rsidRDefault="009756C3" w:rsidP="009756C3">
      <w:pPr>
        <w:pStyle w:val="a7"/>
        <w:ind w:left="480" w:hanging="480"/>
        <w:rPr>
          <w:sz w:val="24"/>
          <w:szCs w:val="24"/>
        </w:rPr>
      </w:pPr>
      <w:r w:rsidRPr="00A12D7A">
        <w:rPr>
          <w:sz w:val="24"/>
          <w:szCs w:val="24"/>
        </w:rPr>
        <w:t>1.</w:t>
      </w:r>
      <w:r w:rsidRPr="00A12D7A">
        <w:rPr>
          <w:rFonts w:hint="eastAsia"/>
          <w:sz w:val="24"/>
          <w:szCs w:val="24"/>
        </w:rPr>
        <w:t xml:space="preserve"> </w:t>
      </w:r>
      <w:r w:rsidRPr="00A12D7A">
        <w:rPr>
          <w:rFonts w:hint="eastAsia"/>
          <w:sz w:val="24"/>
          <w:szCs w:val="24"/>
        </w:rPr>
        <w:t>主治醫師或藥師認為有必要性，由主治醫師提出，經該科會議討論後，再由該科主任檢具相關新進藥品資料向藥委會提出申請。</w:t>
      </w:r>
    </w:p>
    <w:p w14:paraId="781DB2BA" w14:textId="77777777" w:rsidR="009756C3" w:rsidRPr="00A12D7A" w:rsidRDefault="009756C3" w:rsidP="009756C3">
      <w:pPr>
        <w:pStyle w:val="a7"/>
        <w:ind w:left="480" w:hanging="480"/>
        <w:rPr>
          <w:sz w:val="24"/>
          <w:szCs w:val="24"/>
        </w:rPr>
      </w:pPr>
      <w:r w:rsidRPr="00A12D7A">
        <w:rPr>
          <w:rFonts w:hint="eastAsia"/>
          <w:sz w:val="24"/>
          <w:szCs w:val="24"/>
        </w:rPr>
        <w:t xml:space="preserve">2. </w:t>
      </w:r>
      <w:r w:rsidRPr="00A12D7A">
        <w:rPr>
          <w:rFonts w:hint="eastAsia"/>
          <w:sz w:val="24"/>
          <w:szCs w:val="24"/>
        </w:rPr>
        <w:t>詳細填寫新進要藥品申請書後交藥委會執行秘書經藥委會討論須作臨床試用否，如須臨床試驗，申請醫師請廠商將臨床試驗計劃書送交藥委會備查，開始臨床試驗</w:t>
      </w:r>
      <w:r w:rsidRPr="00A12D7A">
        <w:rPr>
          <w:rFonts w:hint="eastAsia"/>
          <w:sz w:val="24"/>
          <w:szCs w:val="24"/>
        </w:rPr>
        <w:t xml:space="preserve"> </w:t>
      </w:r>
      <w:r w:rsidRPr="00A12D7A">
        <w:rPr>
          <w:sz w:val="24"/>
          <w:szCs w:val="24"/>
        </w:rPr>
        <w:t>(</w:t>
      </w:r>
      <w:r w:rsidRPr="00A12D7A">
        <w:rPr>
          <w:rFonts w:hint="eastAsia"/>
          <w:sz w:val="24"/>
          <w:szCs w:val="24"/>
        </w:rPr>
        <w:t>一名醫師於同一時間內，只得進行一項臨床試驗</w:t>
      </w:r>
      <w:r w:rsidRPr="00A12D7A">
        <w:rPr>
          <w:sz w:val="24"/>
          <w:szCs w:val="24"/>
        </w:rPr>
        <w:t>)</w:t>
      </w:r>
      <w:r w:rsidRPr="00A12D7A">
        <w:rPr>
          <w:rFonts w:hint="eastAsia"/>
          <w:sz w:val="24"/>
          <w:szCs w:val="24"/>
        </w:rPr>
        <w:t>。</w:t>
      </w:r>
    </w:p>
    <w:p w14:paraId="781DB2BB" w14:textId="77777777" w:rsidR="009756C3" w:rsidRPr="00A12D7A" w:rsidRDefault="009756C3" w:rsidP="009756C3">
      <w:pPr>
        <w:pStyle w:val="a7"/>
        <w:ind w:left="480" w:hanging="480"/>
        <w:rPr>
          <w:sz w:val="24"/>
          <w:szCs w:val="24"/>
        </w:rPr>
      </w:pPr>
      <w:r w:rsidRPr="00A12D7A">
        <w:rPr>
          <w:sz w:val="24"/>
          <w:szCs w:val="24"/>
        </w:rPr>
        <w:t xml:space="preserve">3. </w:t>
      </w:r>
      <w:r w:rsidRPr="00A12D7A">
        <w:rPr>
          <w:rFonts w:hint="eastAsia"/>
          <w:sz w:val="24"/>
          <w:szCs w:val="24"/>
        </w:rPr>
        <w:t>填妥藥委會新進藥品審查資料，檢具相關資料向藥委會正式提出申請。</w:t>
      </w:r>
    </w:p>
    <w:p w14:paraId="781DB2BC" w14:textId="77777777" w:rsidR="009756C3" w:rsidRPr="00A12D7A" w:rsidRDefault="009756C3" w:rsidP="009756C3">
      <w:pPr>
        <w:pStyle w:val="a7"/>
        <w:ind w:left="480" w:hanging="480"/>
        <w:rPr>
          <w:sz w:val="24"/>
          <w:szCs w:val="24"/>
        </w:rPr>
      </w:pPr>
    </w:p>
    <w:p w14:paraId="781DB2BD" w14:textId="77777777" w:rsidR="009756C3" w:rsidRPr="00A12D7A" w:rsidRDefault="009756C3" w:rsidP="009756C3">
      <w:pPr>
        <w:pStyle w:val="a7"/>
        <w:ind w:left="480" w:hanging="480"/>
        <w:rPr>
          <w:sz w:val="24"/>
          <w:szCs w:val="24"/>
        </w:rPr>
      </w:pPr>
      <w:r w:rsidRPr="00A12D7A">
        <w:rPr>
          <w:rFonts w:hint="eastAsia"/>
          <w:sz w:val="24"/>
          <w:szCs w:val="24"/>
        </w:rPr>
        <w:t>註：</w:t>
      </w:r>
    </w:p>
    <w:p w14:paraId="781DB2BE" w14:textId="77777777" w:rsidR="009756C3" w:rsidRPr="00A12D7A" w:rsidRDefault="009756C3" w:rsidP="009756C3">
      <w:pPr>
        <w:pStyle w:val="a7"/>
        <w:ind w:left="480" w:hanging="480"/>
        <w:rPr>
          <w:sz w:val="24"/>
          <w:szCs w:val="24"/>
        </w:rPr>
      </w:pPr>
      <w:r w:rsidRPr="00A12D7A">
        <w:rPr>
          <w:sz w:val="24"/>
          <w:szCs w:val="24"/>
        </w:rPr>
        <w:t>1.</w:t>
      </w:r>
      <w:r w:rsidRPr="00A12D7A">
        <w:rPr>
          <w:rFonts w:hint="eastAsia"/>
          <w:sz w:val="24"/>
          <w:szCs w:val="24"/>
        </w:rPr>
        <w:t xml:space="preserve"> </w:t>
      </w:r>
      <w:r w:rsidRPr="00A12D7A">
        <w:rPr>
          <w:rFonts w:hint="eastAsia"/>
          <w:sz w:val="24"/>
          <w:szCs w:val="24"/>
        </w:rPr>
        <w:t>請務必每進一項新藥，得刪除本科一項舊藥。</w:t>
      </w:r>
    </w:p>
    <w:p w14:paraId="781DB2BF" w14:textId="77777777" w:rsidR="009756C3" w:rsidRPr="00A12D7A" w:rsidRDefault="009756C3" w:rsidP="009756C3">
      <w:pPr>
        <w:pStyle w:val="a7"/>
        <w:ind w:left="480" w:hanging="480"/>
        <w:rPr>
          <w:sz w:val="24"/>
          <w:szCs w:val="24"/>
        </w:rPr>
      </w:pPr>
      <w:r w:rsidRPr="00A12D7A">
        <w:rPr>
          <w:sz w:val="24"/>
          <w:szCs w:val="24"/>
        </w:rPr>
        <w:t>2.</w:t>
      </w:r>
      <w:r w:rsidRPr="00A12D7A">
        <w:rPr>
          <w:rFonts w:hint="eastAsia"/>
          <w:sz w:val="24"/>
          <w:szCs w:val="24"/>
        </w:rPr>
        <w:t xml:space="preserve"> </w:t>
      </w:r>
      <w:r w:rsidRPr="00A12D7A">
        <w:rPr>
          <w:rFonts w:hint="eastAsia"/>
          <w:sz w:val="24"/>
          <w:szCs w:val="24"/>
        </w:rPr>
        <w:t>每項新藥申請，廠商須提供回饋金給醫院。</w:t>
      </w:r>
    </w:p>
    <w:p w14:paraId="781DB2C0" w14:textId="77777777" w:rsidR="009756C3" w:rsidRPr="00A12D7A" w:rsidRDefault="009756C3" w:rsidP="009756C3">
      <w:pPr>
        <w:pStyle w:val="a7"/>
        <w:ind w:left="480" w:hanging="480"/>
        <w:rPr>
          <w:sz w:val="24"/>
          <w:szCs w:val="24"/>
        </w:rPr>
      </w:pPr>
      <w:r w:rsidRPr="00A12D7A">
        <w:rPr>
          <w:rFonts w:hint="eastAsia"/>
          <w:sz w:val="24"/>
          <w:szCs w:val="24"/>
        </w:rPr>
        <w:t xml:space="preserve">3. </w:t>
      </w:r>
      <w:r w:rsidRPr="00A12D7A">
        <w:rPr>
          <w:rFonts w:hint="eastAsia"/>
          <w:sz w:val="24"/>
          <w:szCs w:val="24"/>
        </w:rPr>
        <w:t>依據每科專職主治醫師人數，每二人提新藥一項，不足二人時以二人計算。</w:t>
      </w:r>
    </w:p>
    <w:p w14:paraId="781DB2C1" w14:textId="77777777" w:rsidR="009756C3" w:rsidRPr="00A12D7A" w:rsidRDefault="009756C3" w:rsidP="009756C3">
      <w:pPr>
        <w:pStyle w:val="a7"/>
        <w:ind w:left="480" w:hanging="480"/>
        <w:rPr>
          <w:sz w:val="24"/>
          <w:szCs w:val="24"/>
        </w:rPr>
      </w:pPr>
    </w:p>
    <w:p w14:paraId="781DB2C2" w14:textId="77777777" w:rsidR="009756C3" w:rsidRPr="00A12D7A" w:rsidRDefault="009756C3" w:rsidP="009756C3">
      <w:pPr>
        <w:pStyle w:val="a7"/>
        <w:ind w:left="480" w:hanging="480"/>
        <w:rPr>
          <w:sz w:val="24"/>
          <w:szCs w:val="24"/>
        </w:rPr>
      </w:pPr>
      <w:r w:rsidRPr="00A12D7A">
        <w:rPr>
          <w:rFonts w:hint="eastAsia"/>
          <w:sz w:val="24"/>
          <w:szCs w:val="24"/>
        </w:rPr>
        <w:t>臨採藥品分類及使用規定</w:t>
      </w:r>
      <w:r w:rsidRPr="00A12D7A">
        <w:rPr>
          <w:sz w:val="24"/>
          <w:szCs w:val="24"/>
        </w:rPr>
        <w:t>：</w:t>
      </w:r>
      <w:bookmarkStart w:id="1" w:name="_GoBack"/>
      <w:bookmarkEnd w:id="1"/>
    </w:p>
    <w:p w14:paraId="781DB2C3" w14:textId="77777777" w:rsidR="009756C3" w:rsidRPr="00A12D7A" w:rsidRDefault="009756C3" w:rsidP="009756C3">
      <w:pPr>
        <w:pStyle w:val="a7"/>
        <w:ind w:left="480" w:hanging="480"/>
        <w:rPr>
          <w:sz w:val="24"/>
          <w:szCs w:val="24"/>
        </w:rPr>
      </w:pPr>
      <w:r w:rsidRPr="00A12D7A">
        <w:rPr>
          <w:rFonts w:hint="eastAsia"/>
          <w:sz w:val="24"/>
          <w:szCs w:val="24"/>
        </w:rPr>
        <w:t>壹</w:t>
      </w:r>
      <w:r w:rsidRPr="00A12D7A">
        <w:rPr>
          <w:sz w:val="24"/>
          <w:szCs w:val="24"/>
        </w:rPr>
        <w:t>.</w:t>
      </w:r>
      <w:r w:rsidRPr="00A12D7A">
        <w:rPr>
          <w:rFonts w:hint="eastAsia"/>
          <w:sz w:val="24"/>
          <w:szCs w:val="24"/>
        </w:rPr>
        <w:t xml:space="preserve"> </w:t>
      </w:r>
      <w:r w:rsidRPr="00A12D7A">
        <w:rPr>
          <w:rFonts w:hint="eastAsia"/>
          <w:sz w:val="24"/>
          <w:szCs w:val="24"/>
        </w:rPr>
        <w:t>分類</w:t>
      </w:r>
      <w:r w:rsidRPr="00A12D7A">
        <w:rPr>
          <w:sz w:val="24"/>
          <w:szCs w:val="24"/>
        </w:rPr>
        <w:t>：</w:t>
      </w:r>
    </w:p>
    <w:tbl>
      <w:tblPr>
        <w:tblW w:w="0" w:type="auto"/>
        <w:tblInd w:w="388" w:type="dxa"/>
        <w:tblCellMar>
          <w:left w:w="28" w:type="dxa"/>
          <w:right w:w="28" w:type="dxa"/>
        </w:tblCellMar>
        <w:tblLook w:val="0000" w:firstRow="0" w:lastRow="0" w:firstColumn="0" w:lastColumn="0" w:noHBand="0" w:noVBand="0"/>
      </w:tblPr>
      <w:tblGrid>
        <w:gridCol w:w="720"/>
        <w:gridCol w:w="7020"/>
      </w:tblGrid>
      <w:tr w:rsidR="009756C3" w:rsidRPr="00A12D7A" w14:paraId="781DB2C6" w14:textId="77777777" w:rsidTr="00BD42BC">
        <w:tc>
          <w:tcPr>
            <w:tcW w:w="720" w:type="dxa"/>
          </w:tcPr>
          <w:p w14:paraId="781DB2C4" w14:textId="77777777" w:rsidR="009756C3" w:rsidRPr="00A12D7A" w:rsidRDefault="009756C3" w:rsidP="00BD42BC">
            <w:pPr>
              <w:pStyle w:val="a7"/>
              <w:ind w:left="480" w:hanging="480"/>
              <w:rPr>
                <w:sz w:val="24"/>
                <w:szCs w:val="24"/>
              </w:rPr>
            </w:pPr>
            <w:r w:rsidRPr="00A12D7A">
              <w:rPr>
                <w:sz w:val="24"/>
                <w:szCs w:val="24"/>
              </w:rPr>
              <w:t>A</w:t>
            </w:r>
            <w:r w:rsidRPr="00A12D7A">
              <w:rPr>
                <w:rFonts w:hint="eastAsia"/>
                <w:sz w:val="24"/>
                <w:szCs w:val="24"/>
              </w:rPr>
              <w:t>類：</w:t>
            </w:r>
          </w:p>
        </w:tc>
        <w:tc>
          <w:tcPr>
            <w:tcW w:w="7020" w:type="dxa"/>
          </w:tcPr>
          <w:p w14:paraId="781DB2C5" w14:textId="77777777" w:rsidR="009756C3" w:rsidRPr="00A12D7A" w:rsidRDefault="009756C3" w:rsidP="00BD42BC">
            <w:pPr>
              <w:pStyle w:val="a7"/>
              <w:ind w:left="480" w:hanging="480"/>
              <w:rPr>
                <w:sz w:val="24"/>
                <w:szCs w:val="24"/>
              </w:rPr>
            </w:pPr>
            <w:r w:rsidRPr="00A12D7A">
              <w:rPr>
                <w:rFonts w:hint="eastAsia"/>
                <w:sz w:val="24"/>
                <w:szCs w:val="24"/>
              </w:rPr>
              <w:t>住院病人用藥一律概括</w:t>
            </w:r>
            <w:r w:rsidRPr="00A12D7A">
              <w:rPr>
                <w:sz w:val="24"/>
                <w:szCs w:val="24"/>
              </w:rPr>
              <w:t>(</w:t>
            </w:r>
            <w:r w:rsidRPr="00A12D7A">
              <w:rPr>
                <w:rFonts w:hint="eastAsia"/>
                <w:sz w:val="24"/>
                <w:szCs w:val="24"/>
              </w:rPr>
              <w:t>依個案用量申請</w:t>
            </w:r>
            <w:r w:rsidRPr="00A12D7A">
              <w:rPr>
                <w:sz w:val="24"/>
                <w:szCs w:val="24"/>
              </w:rPr>
              <w:t xml:space="preserve"> )</w:t>
            </w:r>
          </w:p>
        </w:tc>
      </w:tr>
      <w:tr w:rsidR="009756C3" w:rsidRPr="00A12D7A" w14:paraId="781DB2C9" w14:textId="77777777" w:rsidTr="00BD42BC">
        <w:tc>
          <w:tcPr>
            <w:tcW w:w="720" w:type="dxa"/>
          </w:tcPr>
          <w:p w14:paraId="781DB2C7" w14:textId="77777777" w:rsidR="009756C3" w:rsidRPr="00A12D7A" w:rsidRDefault="009756C3" w:rsidP="00BD42BC">
            <w:pPr>
              <w:pStyle w:val="a7"/>
              <w:ind w:left="480" w:hanging="480"/>
              <w:rPr>
                <w:sz w:val="24"/>
                <w:szCs w:val="24"/>
              </w:rPr>
            </w:pPr>
            <w:r w:rsidRPr="00A12D7A">
              <w:rPr>
                <w:sz w:val="24"/>
                <w:szCs w:val="24"/>
              </w:rPr>
              <w:t>B</w:t>
            </w:r>
            <w:r w:rsidRPr="00A12D7A">
              <w:rPr>
                <w:rFonts w:hint="eastAsia"/>
                <w:sz w:val="24"/>
                <w:szCs w:val="24"/>
              </w:rPr>
              <w:t>類：</w:t>
            </w:r>
          </w:p>
        </w:tc>
        <w:tc>
          <w:tcPr>
            <w:tcW w:w="7020" w:type="dxa"/>
          </w:tcPr>
          <w:p w14:paraId="781DB2C8" w14:textId="77777777" w:rsidR="009756C3" w:rsidRPr="00A12D7A" w:rsidRDefault="009756C3" w:rsidP="00BD42BC">
            <w:pPr>
              <w:pStyle w:val="a7"/>
              <w:ind w:left="480" w:hanging="480"/>
              <w:rPr>
                <w:sz w:val="24"/>
                <w:szCs w:val="24"/>
              </w:rPr>
            </w:pPr>
            <w:r w:rsidRPr="00A12D7A">
              <w:rPr>
                <w:rFonts w:hint="eastAsia"/>
                <w:sz w:val="24"/>
                <w:szCs w:val="24"/>
              </w:rPr>
              <w:t>門診病人用藥限定緊急之病例：如抗心律不整、抗癲癇、出血、支氣管擴張劑、類固醇及荷爾蒙治療劑、抗癌藥、本院藥局所列正式品目中，無相同類別之注射用針劑眼、耳、鼻、喉科之滴劑、麻醉用藥、診斷學必要之試劑。</w:t>
            </w:r>
          </w:p>
        </w:tc>
      </w:tr>
      <w:tr w:rsidR="009756C3" w:rsidRPr="00A12D7A" w14:paraId="781DB2CE" w14:textId="77777777" w:rsidTr="00BD42BC">
        <w:tc>
          <w:tcPr>
            <w:tcW w:w="720" w:type="dxa"/>
          </w:tcPr>
          <w:p w14:paraId="781DB2CA" w14:textId="77777777" w:rsidR="009756C3" w:rsidRPr="00A12D7A" w:rsidRDefault="009756C3" w:rsidP="00BD42BC">
            <w:pPr>
              <w:pStyle w:val="a7"/>
              <w:ind w:left="480" w:hanging="480"/>
              <w:rPr>
                <w:sz w:val="24"/>
                <w:szCs w:val="24"/>
              </w:rPr>
            </w:pPr>
            <w:r w:rsidRPr="00A12D7A">
              <w:rPr>
                <w:sz w:val="24"/>
                <w:szCs w:val="24"/>
              </w:rPr>
              <w:t>C</w:t>
            </w:r>
            <w:r w:rsidRPr="00A12D7A">
              <w:rPr>
                <w:rFonts w:hint="eastAsia"/>
                <w:sz w:val="24"/>
                <w:szCs w:val="24"/>
              </w:rPr>
              <w:t>類：</w:t>
            </w:r>
          </w:p>
        </w:tc>
        <w:tc>
          <w:tcPr>
            <w:tcW w:w="7020" w:type="dxa"/>
          </w:tcPr>
          <w:p w14:paraId="781DB2CB" w14:textId="77777777" w:rsidR="009756C3" w:rsidRPr="00A12D7A" w:rsidRDefault="009756C3" w:rsidP="00BD42BC">
            <w:pPr>
              <w:pStyle w:val="a7"/>
              <w:ind w:left="480" w:hanging="480"/>
              <w:rPr>
                <w:sz w:val="24"/>
                <w:szCs w:val="24"/>
              </w:rPr>
            </w:pPr>
            <w:r w:rsidRPr="00A12D7A">
              <w:rPr>
                <w:sz w:val="24"/>
                <w:szCs w:val="24"/>
              </w:rPr>
              <w:t>1</w:t>
            </w:r>
            <w:r w:rsidRPr="00A12D7A">
              <w:rPr>
                <w:rFonts w:hint="eastAsia"/>
                <w:sz w:val="24"/>
                <w:szCs w:val="24"/>
              </w:rPr>
              <w:t xml:space="preserve">. </w:t>
            </w:r>
            <w:r w:rsidRPr="00A12D7A">
              <w:rPr>
                <w:rFonts w:hint="eastAsia"/>
                <w:sz w:val="24"/>
                <w:szCs w:val="24"/>
              </w:rPr>
              <w:t>本院新增科別之用藥，如經神科、神經科、皮膚科</w:t>
            </w:r>
          </w:p>
          <w:p w14:paraId="781DB2CC" w14:textId="77777777" w:rsidR="009756C3" w:rsidRPr="00A12D7A" w:rsidRDefault="009756C3" w:rsidP="00BD42BC">
            <w:pPr>
              <w:pStyle w:val="a7"/>
              <w:ind w:left="480" w:hanging="480"/>
              <w:rPr>
                <w:sz w:val="24"/>
                <w:szCs w:val="24"/>
              </w:rPr>
            </w:pPr>
            <w:r w:rsidRPr="00A12D7A">
              <w:rPr>
                <w:sz w:val="24"/>
                <w:szCs w:val="24"/>
              </w:rPr>
              <w:t>2.</w:t>
            </w:r>
            <w:r w:rsidRPr="00A12D7A">
              <w:rPr>
                <w:rFonts w:hint="eastAsia"/>
                <w:sz w:val="24"/>
                <w:szCs w:val="24"/>
              </w:rPr>
              <w:t xml:space="preserve"> </w:t>
            </w:r>
            <w:r w:rsidRPr="00A12D7A">
              <w:rPr>
                <w:rFonts w:hint="eastAsia"/>
                <w:sz w:val="24"/>
                <w:szCs w:val="24"/>
              </w:rPr>
              <w:t>口服抗生素必須本院藥局所列正式品項中，無相同類別者。</w:t>
            </w:r>
          </w:p>
          <w:p w14:paraId="781DB2CD" w14:textId="77777777" w:rsidR="009756C3" w:rsidRPr="00A12D7A" w:rsidRDefault="009756C3" w:rsidP="00BD42BC">
            <w:pPr>
              <w:pStyle w:val="a7"/>
              <w:ind w:left="480" w:hanging="480"/>
              <w:rPr>
                <w:sz w:val="24"/>
                <w:szCs w:val="24"/>
              </w:rPr>
            </w:pPr>
            <w:r w:rsidRPr="00A12D7A">
              <w:rPr>
                <w:sz w:val="24"/>
                <w:szCs w:val="24"/>
              </w:rPr>
              <w:t>3.</w:t>
            </w:r>
            <w:r w:rsidRPr="00A12D7A">
              <w:rPr>
                <w:rFonts w:hint="eastAsia"/>
                <w:sz w:val="24"/>
                <w:szCs w:val="24"/>
              </w:rPr>
              <w:t xml:space="preserve"> </w:t>
            </w:r>
            <w:r w:rsidRPr="00A12D7A">
              <w:rPr>
                <w:rFonts w:hint="eastAsia"/>
                <w:sz w:val="24"/>
                <w:szCs w:val="24"/>
              </w:rPr>
              <w:t>已有文獻報告且經過</w:t>
            </w:r>
            <w:r w:rsidRPr="00A12D7A">
              <w:rPr>
                <w:sz w:val="24"/>
                <w:szCs w:val="24"/>
              </w:rPr>
              <w:t>FDA</w:t>
            </w:r>
            <w:r w:rsidRPr="00A12D7A">
              <w:rPr>
                <w:rFonts w:hint="eastAsia"/>
                <w:sz w:val="24"/>
                <w:szCs w:val="24"/>
              </w:rPr>
              <w:t>通過之新藥，臨採時須附文獻報告。</w:t>
            </w:r>
          </w:p>
        </w:tc>
      </w:tr>
    </w:tbl>
    <w:p w14:paraId="781DB2CF" w14:textId="77777777" w:rsidR="009756C3" w:rsidRPr="00A12D7A" w:rsidRDefault="009756C3" w:rsidP="009756C3">
      <w:pPr>
        <w:pStyle w:val="a7"/>
        <w:ind w:left="480" w:hanging="480"/>
        <w:rPr>
          <w:sz w:val="24"/>
          <w:szCs w:val="24"/>
        </w:rPr>
      </w:pPr>
    </w:p>
    <w:p w14:paraId="781DB2D0" w14:textId="77777777" w:rsidR="009756C3" w:rsidRPr="00A12D7A" w:rsidRDefault="009756C3" w:rsidP="009756C3">
      <w:pPr>
        <w:pStyle w:val="a7"/>
        <w:ind w:left="480" w:hanging="480"/>
        <w:rPr>
          <w:sz w:val="24"/>
          <w:szCs w:val="24"/>
        </w:rPr>
      </w:pPr>
      <w:r w:rsidRPr="00A12D7A">
        <w:rPr>
          <w:rFonts w:hint="eastAsia"/>
          <w:sz w:val="24"/>
          <w:szCs w:val="24"/>
        </w:rPr>
        <w:t>貳</w:t>
      </w:r>
      <w:r w:rsidRPr="00A12D7A">
        <w:rPr>
          <w:sz w:val="24"/>
          <w:szCs w:val="24"/>
        </w:rPr>
        <w:t xml:space="preserve">. </w:t>
      </w:r>
      <w:r w:rsidRPr="00A12D7A">
        <w:rPr>
          <w:rFonts w:hint="eastAsia"/>
          <w:sz w:val="24"/>
          <w:szCs w:val="24"/>
        </w:rPr>
        <w:t>臨採規定</w:t>
      </w:r>
      <w:r w:rsidRPr="00A12D7A">
        <w:rPr>
          <w:sz w:val="24"/>
          <w:szCs w:val="24"/>
        </w:rPr>
        <w:t>：</w:t>
      </w:r>
    </w:p>
    <w:p w14:paraId="781DB2D1" w14:textId="064B550E" w:rsidR="00A12D7A" w:rsidRDefault="009756C3" w:rsidP="00A12D7A">
      <w:pPr>
        <w:pStyle w:val="a7"/>
        <w:numPr>
          <w:ilvl w:val="0"/>
          <w:numId w:val="2"/>
        </w:numPr>
        <w:ind w:firstLineChars="0"/>
        <w:rPr>
          <w:sz w:val="24"/>
          <w:szCs w:val="24"/>
        </w:rPr>
      </w:pPr>
      <w:r w:rsidRPr="00A12D7A">
        <w:rPr>
          <w:rFonts w:hint="eastAsia"/>
          <w:sz w:val="24"/>
          <w:szCs w:val="24"/>
        </w:rPr>
        <w:t>A</w:t>
      </w:r>
      <w:r w:rsidRPr="00A12D7A">
        <w:rPr>
          <w:rFonts w:hint="eastAsia"/>
          <w:sz w:val="24"/>
          <w:szCs w:val="24"/>
        </w:rPr>
        <w:t>類之臨採僅須科主任及藥局主任同意及可先行採購。</w:t>
      </w:r>
    </w:p>
    <w:p w14:paraId="781DB2D2" w14:textId="130AB642" w:rsidR="00A12D7A" w:rsidRDefault="009756C3" w:rsidP="00A12D7A">
      <w:pPr>
        <w:pStyle w:val="a7"/>
        <w:numPr>
          <w:ilvl w:val="0"/>
          <w:numId w:val="2"/>
        </w:numPr>
        <w:ind w:firstLineChars="0"/>
        <w:rPr>
          <w:sz w:val="24"/>
          <w:szCs w:val="24"/>
        </w:rPr>
      </w:pPr>
      <w:r w:rsidRPr="00A12D7A">
        <w:rPr>
          <w:sz w:val="24"/>
          <w:szCs w:val="24"/>
        </w:rPr>
        <w:t>B</w:t>
      </w:r>
      <w:r w:rsidRPr="00A12D7A">
        <w:rPr>
          <w:rFonts w:hint="eastAsia"/>
          <w:sz w:val="24"/>
          <w:szCs w:val="24"/>
        </w:rPr>
        <w:t>類之臨採須該科主任及藥局主任同意，並經保險申報後才可採購。</w:t>
      </w:r>
    </w:p>
    <w:p w14:paraId="781DB2D3" w14:textId="1CFEAFFC" w:rsidR="00A12D7A" w:rsidRDefault="009756C3" w:rsidP="00A12D7A">
      <w:pPr>
        <w:pStyle w:val="a7"/>
        <w:numPr>
          <w:ilvl w:val="0"/>
          <w:numId w:val="2"/>
        </w:numPr>
        <w:ind w:firstLineChars="0"/>
        <w:rPr>
          <w:sz w:val="24"/>
          <w:szCs w:val="24"/>
        </w:rPr>
      </w:pPr>
      <w:r w:rsidRPr="00A12D7A">
        <w:rPr>
          <w:sz w:val="24"/>
          <w:szCs w:val="24"/>
        </w:rPr>
        <w:t>C</w:t>
      </w:r>
      <w:r w:rsidRPr="00A12D7A">
        <w:rPr>
          <w:rFonts w:hint="eastAsia"/>
          <w:sz w:val="24"/>
          <w:szCs w:val="24"/>
        </w:rPr>
        <w:t>類之臨採除該主任及藥局主任同意外，須藥委會主席會同相關委員或醫師同意，經保險申報後才可採購。</w:t>
      </w:r>
    </w:p>
    <w:p w14:paraId="781DB2D4" w14:textId="71B21E40" w:rsidR="00A12D7A" w:rsidRDefault="009756C3" w:rsidP="00A12D7A">
      <w:pPr>
        <w:pStyle w:val="a7"/>
        <w:numPr>
          <w:ilvl w:val="0"/>
          <w:numId w:val="2"/>
        </w:numPr>
        <w:ind w:firstLineChars="0"/>
        <w:rPr>
          <w:sz w:val="24"/>
          <w:szCs w:val="24"/>
        </w:rPr>
      </w:pPr>
      <w:r w:rsidRPr="00A12D7A">
        <w:rPr>
          <w:rFonts w:hint="eastAsia"/>
          <w:sz w:val="24"/>
          <w:szCs w:val="24"/>
        </w:rPr>
        <w:t>不在</w:t>
      </w:r>
      <w:r w:rsidRPr="00A12D7A">
        <w:rPr>
          <w:sz w:val="24"/>
          <w:szCs w:val="24"/>
        </w:rPr>
        <w:t>A</w:t>
      </w:r>
      <w:r w:rsidRPr="00A12D7A">
        <w:rPr>
          <w:rFonts w:hint="eastAsia"/>
          <w:sz w:val="24"/>
          <w:szCs w:val="24"/>
        </w:rPr>
        <w:t>、</w:t>
      </w:r>
      <w:r w:rsidRPr="00A12D7A">
        <w:rPr>
          <w:sz w:val="24"/>
          <w:szCs w:val="24"/>
        </w:rPr>
        <w:t>B</w:t>
      </w:r>
      <w:r w:rsidRPr="00A12D7A">
        <w:rPr>
          <w:rFonts w:hint="eastAsia"/>
          <w:sz w:val="24"/>
          <w:szCs w:val="24"/>
        </w:rPr>
        <w:t>、</w:t>
      </w:r>
      <w:r w:rsidRPr="00A12D7A">
        <w:rPr>
          <w:sz w:val="24"/>
          <w:szCs w:val="24"/>
        </w:rPr>
        <w:t>C</w:t>
      </w:r>
      <w:r w:rsidRPr="00A12D7A">
        <w:rPr>
          <w:rFonts w:hint="eastAsia"/>
          <w:sz w:val="24"/>
          <w:szCs w:val="24"/>
        </w:rPr>
        <w:t>類者，不得臨採。</w:t>
      </w:r>
    </w:p>
    <w:p w14:paraId="781DB2D5" w14:textId="593F76EF" w:rsidR="00A12D7A" w:rsidRDefault="009756C3" w:rsidP="009756C3">
      <w:pPr>
        <w:pStyle w:val="a7"/>
        <w:numPr>
          <w:ilvl w:val="0"/>
          <w:numId w:val="2"/>
        </w:numPr>
        <w:ind w:firstLineChars="0"/>
        <w:rPr>
          <w:sz w:val="24"/>
          <w:szCs w:val="24"/>
        </w:rPr>
      </w:pPr>
      <w:r w:rsidRPr="00A12D7A">
        <w:rPr>
          <w:rFonts w:hint="eastAsia"/>
          <w:sz w:val="24"/>
          <w:szCs w:val="24"/>
        </w:rPr>
        <w:t>經保險申報，但健保局不予核價者，可臨採但須自費。</w:t>
      </w:r>
    </w:p>
    <w:p w14:paraId="781DB2D6" w14:textId="72C28810" w:rsidR="003C2669" w:rsidRPr="00A12D7A" w:rsidRDefault="009756C3" w:rsidP="009756C3">
      <w:pPr>
        <w:pStyle w:val="a7"/>
        <w:numPr>
          <w:ilvl w:val="0"/>
          <w:numId w:val="2"/>
        </w:numPr>
        <w:ind w:firstLineChars="0"/>
        <w:rPr>
          <w:sz w:val="24"/>
          <w:szCs w:val="24"/>
          <w:u w:val="single"/>
        </w:rPr>
      </w:pPr>
      <w:r w:rsidRPr="00A12D7A">
        <w:rPr>
          <w:rFonts w:hint="eastAsia"/>
          <w:sz w:val="24"/>
          <w:szCs w:val="24"/>
          <w:u w:val="single"/>
        </w:rPr>
        <w:t>以上如有未盡事宜或爭議之處，將呈醫務副院長裁決。</w:t>
      </w:r>
    </w:p>
    <w:sectPr w:rsidR="003C2669" w:rsidRPr="00A12D7A" w:rsidSect="003C26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0B29F" w14:textId="77777777" w:rsidR="00BD42BC" w:rsidRDefault="00BD42BC" w:rsidP="009756C3">
      <w:r>
        <w:separator/>
      </w:r>
    </w:p>
  </w:endnote>
  <w:endnote w:type="continuationSeparator" w:id="0">
    <w:p w14:paraId="59AED15F" w14:textId="77777777" w:rsidR="00BD42BC" w:rsidRDefault="00BD42BC" w:rsidP="009756C3">
      <w:r>
        <w:continuationSeparator/>
      </w:r>
    </w:p>
  </w:endnote>
  <w:endnote w:type="continuationNotice" w:id="1">
    <w:p w14:paraId="315F3B08" w14:textId="77777777" w:rsidR="00E67EBA" w:rsidRDefault="00E67E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DE66B" w14:textId="77777777" w:rsidR="00BD42BC" w:rsidRDefault="00BD42BC" w:rsidP="009756C3">
      <w:r>
        <w:separator/>
      </w:r>
    </w:p>
  </w:footnote>
  <w:footnote w:type="continuationSeparator" w:id="0">
    <w:p w14:paraId="3F7A3FEB" w14:textId="77777777" w:rsidR="00BD42BC" w:rsidRDefault="00BD42BC" w:rsidP="009756C3">
      <w:r>
        <w:continuationSeparator/>
      </w:r>
    </w:p>
  </w:footnote>
  <w:footnote w:type="continuationNotice" w:id="1">
    <w:p w14:paraId="6590252A" w14:textId="77777777" w:rsidR="00E67EBA" w:rsidRDefault="00E67EB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43AAF"/>
    <w:multiLevelType w:val="hybridMultilevel"/>
    <w:tmpl w:val="07602E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207359E"/>
    <w:multiLevelType w:val="hybridMultilevel"/>
    <w:tmpl w:val="CAB071AC"/>
    <w:lvl w:ilvl="0" w:tplc="C924E8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56C3"/>
    <w:rsid w:val="00026676"/>
    <w:rsid w:val="000C6641"/>
    <w:rsid w:val="001331ED"/>
    <w:rsid w:val="00141C9E"/>
    <w:rsid w:val="00197A01"/>
    <w:rsid w:val="00286701"/>
    <w:rsid w:val="003124B0"/>
    <w:rsid w:val="00323D07"/>
    <w:rsid w:val="0032541E"/>
    <w:rsid w:val="00326C0C"/>
    <w:rsid w:val="00367C98"/>
    <w:rsid w:val="003C2669"/>
    <w:rsid w:val="003C519B"/>
    <w:rsid w:val="004064D8"/>
    <w:rsid w:val="00455114"/>
    <w:rsid w:val="00477075"/>
    <w:rsid w:val="00597AAA"/>
    <w:rsid w:val="005C62EF"/>
    <w:rsid w:val="00640BE1"/>
    <w:rsid w:val="006912B5"/>
    <w:rsid w:val="0077629F"/>
    <w:rsid w:val="008140CA"/>
    <w:rsid w:val="00822019"/>
    <w:rsid w:val="00844FA6"/>
    <w:rsid w:val="008746B1"/>
    <w:rsid w:val="00877444"/>
    <w:rsid w:val="00895671"/>
    <w:rsid w:val="009756C3"/>
    <w:rsid w:val="009C211B"/>
    <w:rsid w:val="009F1C93"/>
    <w:rsid w:val="00A12D7A"/>
    <w:rsid w:val="00A67C4A"/>
    <w:rsid w:val="00B0370F"/>
    <w:rsid w:val="00B51761"/>
    <w:rsid w:val="00BB001B"/>
    <w:rsid w:val="00BD42BC"/>
    <w:rsid w:val="00BE56F5"/>
    <w:rsid w:val="00BF1819"/>
    <w:rsid w:val="00C05FE7"/>
    <w:rsid w:val="00C20C86"/>
    <w:rsid w:val="00C33857"/>
    <w:rsid w:val="00C33F79"/>
    <w:rsid w:val="00C5709C"/>
    <w:rsid w:val="00C970B5"/>
    <w:rsid w:val="00CC160F"/>
    <w:rsid w:val="00CD1937"/>
    <w:rsid w:val="00CD4819"/>
    <w:rsid w:val="00D02817"/>
    <w:rsid w:val="00D029D9"/>
    <w:rsid w:val="00D9070E"/>
    <w:rsid w:val="00E04E1A"/>
    <w:rsid w:val="00E104BB"/>
    <w:rsid w:val="00E660A4"/>
    <w:rsid w:val="00E67EBA"/>
    <w:rsid w:val="00E72187"/>
    <w:rsid w:val="00EF7225"/>
    <w:rsid w:val="00F10892"/>
    <w:rsid w:val="00F50B29"/>
    <w:rsid w:val="00F57EA8"/>
    <w:rsid w:val="00FC2D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DB2B6"/>
  <w15:docId w15:val="{CF01B00F-4B36-4B97-86BF-4F4391DF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56C3"/>
    <w:pPr>
      <w:widowControl w:val="0"/>
    </w:pPr>
    <w:rPr>
      <w:rFonts w:ascii="Times New Roman" w:eastAsia="新細明體" w:hAnsi="Times New Roman" w:cs="Times New Roman"/>
      <w:szCs w:val="24"/>
    </w:rPr>
  </w:style>
  <w:style w:type="paragraph" w:styleId="1">
    <w:name w:val="heading 1"/>
    <w:basedOn w:val="a"/>
    <w:next w:val="a"/>
    <w:link w:val="10"/>
    <w:autoRedefine/>
    <w:qFormat/>
    <w:rsid w:val="00A12D7A"/>
    <w:pPr>
      <w:keepNext/>
      <w:kinsoku w:val="0"/>
      <w:overflowPunct w:val="0"/>
      <w:autoSpaceDE w:val="0"/>
      <w:autoSpaceDN w:val="0"/>
      <w:snapToGrid w:val="0"/>
      <w:ind w:left="1"/>
      <w:outlineLvl w:val="0"/>
    </w:pPr>
    <w:rPr>
      <w:b/>
      <w:caps/>
      <w:snapToGrid w:val="0"/>
      <w:color w:val="000000"/>
      <w:w w:val="9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756C3"/>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9756C3"/>
    <w:rPr>
      <w:sz w:val="20"/>
      <w:szCs w:val="20"/>
    </w:rPr>
  </w:style>
  <w:style w:type="paragraph" w:styleId="a5">
    <w:name w:val="footer"/>
    <w:basedOn w:val="a"/>
    <w:link w:val="a6"/>
    <w:uiPriority w:val="99"/>
    <w:semiHidden/>
    <w:unhideWhenUsed/>
    <w:rsid w:val="009756C3"/>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9756C3"/>
    <w:rPr>
      <w:sz w:val="20"/>
      <w:szCs w:val="20"/>
    </w:rPr>
  </w:style>
  <w:style w:type="character" w:customStyle="1" w:styleId="10">
    <w:name w:val="標題 1 字元"/>
    <w:basedOn w:val="a0"/>
    <w:link w:val="1"/>
    <w:rsid w:val="00A12D7A"/>
    <w:rPr>
      <w:rFonts w:ascii="Times New Roman" w:eastAsia="新細明體" w:hAnsi="Times New Roman" w:cs="Times New Roman"/>
      <w:b/>
      <w:caps/>
      <w:snapToGrid w:val="0"/>
      <w:color w:val="000000"/>
      <w:w w:val="90"/>
      <w:szCs w:val="24"/>
    </w:rPr>
  </w:style>
  <w:style w:type="paragraph" w:customStyle="1" w:styleId="a7">
    <w:name w:val="格式化內容"/>
    <w:basedOn w:val="a"/>
    <w:autoRedefine/>
    <w:rsid w:val="009756C3"/>
    <w:pPr>
      <w:autoSpaceDE w:val="0"/>
      <w:autoSpaceDN w:val="0"/>
      <w:snapToGrid w:val="0"/>
      <w:spacing w:line="240" w:lineRule="atLeast"/>
      <w:ind w:left="360" w:hangingChars="200" w:hanging="360"/>
      <w:jc w:val="both"/>
    </w:pPr>
    <w:rPr>
      <w:rFonts w:eastAsia="標楷體"/>
      <w:bCs/>
      <w:color w:val="000000"/>
      <w:sz w:val="18"/>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663A237D06027E479DC9901C2D68B0E7" ma:contentTypeVersion="1" ma:contentTypeDescription="建立新的文件。" ma:contentTypeScope="" ma:versionID="0a1d0e7a9530ba45606307121d1b8b8d">
  <xsd:schema xmlns:xsd="http://www.w3.org/2001/XMLSchema" xmlns:xs="http://www.w3.org/2001/XMLSchema" xmlns:p="http://schemas.microsoft.com/office/2006/metadata/properties" xmlns:ns2="f0c3dbc6-80f0-4203-b101-3237182b5c4f" targetNamespace="http://schemas.microsoft.com/office/2006/metadata/properties" ma:root="true" ma:fieldsID="c680741774152dc770fa95b9f0ba4f33" ns2:_="">
    <xsd:import namespace="f0c3dbc6-80f0-4203-b101-3237182b5c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3dbc6-80f0-4203-b101-3237182b5c4f"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f0c3dbc6-80f0-4203-b101-3237182b5c4f">UZEKD5TC7H5Z-89-452</_dlc_DocId>
    <_dlc_DocIdUrl xmlns="f0c3dbc6-80f0-4203-b101-3237182b5c4f">
      <Url>http://moss/SiteDirectory/5110/_layouts/DocIdRedir.aspx?ID=UZEKD5TC7H5Z-89-452</Url>
      <Description>UZEKD5TC7H5Z-89-452</Description>
    </_dlc_DocIdUrl>
  </documentManagement>
</p:properties>
</file>

<file path=customXml/itemProps1.xml><?xml version="1.0" encoding="utf-8"?>
<ds:datastoreItem xmlns:ds="http://schemas.openxmlformats.org/officeDocument/2006/customXml" ds:itemID="{2BDBABE0-4D32-4BAC-8CCE-8BC6DD87A019}"/>
</file>

<file path=customXml/itemProps2.xml><?xml version="1.0" encoding="utf-8"?>
<ds:datastoreItem xmlns:ds="http://schemas.openxmlformats.org/officeDocument/2006/customXml" ds:itemID="{C83C1097-7992-4AD0-86D4-5683ADC1EB40}"/>
</file>

<file path=customXml/itemProps3.xml><?xml version="1.0" encoding="utf-8"?>
<ds:datastoreItem xmlns:ds="http://schemas.openxmlformats.org/officeDocument/2006/customXml" ds:itemID="{91FB53E0-FAB2-411E-B64D-FC7DE79989EE}"/>
</file>

<file path=customXml/itemProps4.xml><?xml version="1.0" encoding="utf-8"?>
<ds:datastoreItem xmlns:ds="http://schemas.openxmlformats.org/officeDocument/2006/customXml" ds:itemID="{284AB6F5-9F3D-4FBF-9FB7-95C182D665A6}"/>
</file>

<file path=docProps/app.xml><?xml version="1.0" encoding="utf-8"?>
<Properties xmlns="http://schemas.openxmlformats.org/officeDocument/2006/extended-properties" xmlns:vt="http://schemas.openxmlformats.org/officeDocument/2006/docPropsVTypes">
  <Template>Normal</Template>
  <TotalTime>4</TotalTime>
  <Pages>1</Pages>
  <Words>109</Words>
  <Characters>625</Characters>
  <Application>Microsoft Office Word</Application>
  <DocSecurity>0</DocSecurity>
  <Lines>5</Lines>
  <Paragraphs>1</Paragraphs>
  <ScaleCrop>false</ScaleCrop>
  <Company>TAH</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119087</dc:creator>
  <cp:keywords/>
  <dc:description/>
  <cp:lastModifiedBy>張雅津</cp:lastModifiedBy>
  <cp:revision>4</cp:revision>
  <dcterms:created xsi:type="dcterms:W3CDTF">2009-12-02T03:43:00Z</dcterms:created>
  <dcterms:modified xsi:type="dcterms:W3CDTF">2015-06-23T02:25:00Z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0x010100663A237D06027E479DC9901C2D68B0E7</vt:lpwstr>
  </property>
  <property fmtid="{D5CDD505-2E9C-101B-9397-08002B2CF9AE}" pid="3" name="_dlc_DocIdItemGuid">
    <vt:lpwstr>ea7cbeb1-53bb-4727-80f3-3fa7b93fafee</vt:lpwstr>
  </property>
</Properties>
</file>