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411BC" w14:textId="29DEE7BD" w:rsidR="00254143" w:rsidRDefault="003049CB" w:rsidP="00254143">
      <w:pPr>
        <w:jc w:val="center"/>
        <w:rPr>
          <w:rFonts w:ascii="Times New Roman" w:eastAsia="宋体" w:hAnsi="Times New Roman" w:cs="Times New Roman"/>
          <w:b/>
          <w:bCs/>
          <w:color w:val="2E75B5"/>
          <w:sz w:val="36"/>
          <w:szCs w:val="36"/>
          <w14:ligatures w14:val="none"/>
        </w:rPr>
      </w:pPr>
      <w:r>
        <w:rPr>
          <w:rFonts w:ascii="Times New Roman" w:eastAsia="宋体" w:hAnsi="Times New Roman" w:cs="Times New Roman" w:hint="eastAsia"/>
          <w:b/>
          <w:bCs/>
          <w:color w:val="2E75B5"/>
          <w:sz w:val="36"/>
          <w:szCs w:val="36"/>
          <w14:ligatures w14:val="none"/>
        </w:rPr>
        <w:t>文献：</w:t>
      </w:r>
      <w:r>
        <w:rPr>
          <w:rFonts w:ascii="Times New Roman" w:eastAsia="宋体" w:hAnsi="Times New Roman" w:cs="Times New Roman" w:hint="eastAsia"/>
          <w:b/>
          <w:bCs/>
          <w:color w:val="2E75B5"/>
          <w:sz w:val="36"/>
          <w:szCs w:val="36"/>
          <w14:ligatures w14:val="none"/>
        </w:rPr>
        <w:t>Connection of Summer Surface Temperature Anomalies between the East European Plain</w:t>
      </w:r>
      <w:r w:rsidR="00F148FA">
        <w:rPr>
          <w:rFonts w:ascii="Times New Roman" w:eastAsia="宋体" w:hAnsi="Times New Roman" w:cs="Times New Roman" w:hint="eastAsia"/>
          <w:b/>
          <w:bCs/>
          <w:color w:val="2E75B5"/>
          <w:sz w:val="36"/>
          <w:szCs w:val="36"/>
          <w14:ligatures w14:val="none"/>
        </w:rPr>
        <w:t>-</w:t>
      </w:r>
      <w:r>
        <w:rPr>
          <w:rFonts w:ascii="Times New Roman" w:eastAsia="宋体" w:hAnsi="Times New Roman" w:cs="Times New Roman" w:hint="eastAsia"/>
          <w:b/>
          <w:bCs/>
          <w:color w:val="2E75B5"/>
          <w:sz w:val="36"/>
          <w:szCs w:val="36"/>
          <w14:ligatures w14:val="none"/>
        </w:rPr>
        <w:t>West Siberian Plain and North America on the Interannual Time Scale</w:t>
      </w:r>
    </w:p>
    <w:p w14:paraId="55D1366F" w14:textId="16174E6A" w:rsidR="0063313D" w:rsidRDefault="00254143" w:rsidP="00850C8B">
      <w:pPr>
        <w:rPr>
          <w:rFonts w:ascii="Times New Roman" w:eastAsia="宋体" w:hAnsi="Times New Roman" w:cs="Times New Roman"/>
          <w:color w:val="000000"/>
          <w:sz w:val="32"/>
          <w:szCs w:val="32"/>
          <w14:ligatures w14:val="none"/>
        </w:rPr>
      </w:pPr>
      <w:r>
        <w:rPr>
          <w:rFonts w:ascii="Times New Roman" w:eastAsia="宋体" w:hAnsi="Times New Roman" w:cs="Times New Roman"/>
          <w:i/>
          <w:iCs/>
          <w:color w:val="000000"/>
          <w:sz w:val="24"/>
          <w:szCs w:val="24"/>
          <w14:ligatures w14:val="none"/>
        </w:rPr>
        <w:t xml:space="preserve">Lv, C., Lu, R. &amp; Chen, W. Connection of Summer Surface Temperature Anomalies between the East European Plain–West Siberian Plain and North America on the Interannual Time Scale. J. Climate 37, 1481–1497 (2024). </w:t>
      </w:r>
      <w:r>
        <w:rPr>
          <w:rFonts w:ascii="Times New Roman" w:eastAsia="宋体" w:hAnsi="Times New Roman" w:cs="Times New Roman"/>
          <w:i/>
          <w:iCs/>
          <w:color w:val="156082" w:themeColor="accent1"/>
          <w:sz w:val="24"/>
          <w:szCs w:val="24"/>
          <w14:ligatures w14:val="none"/>
        </w:rPr>
        <w:t>https://doi.org/10.1175/JCLI-D-23-0373.1</w:t>
      </w:r>
    </w:p>
    <w:p w14:paraId="77C252DD" w14:textId="77777777" w:rsidR="0063313D" w:rsidRDefault="0063313D" w:rsidP="00850C8B">
      <w:pPr>
        <w:rPr>
          <w:rFonts w:ascii="Times New Roman" w:eastAsia="宋体" w:hAnsi="Times New Roman" w:cs="Times New Roman"/>
          <w:color w:val="000000"/>
          <w:sz w:val="32"/>
          <w:szCs w:val="32"/>
          <w14:ligatures w14:val="none"/>
        </w:rPr>
      </w:pPr>
    </w:p>
    <w:p w14:paraId="3565FF2E" w14:textId="56222A6C" w:rsidR="00850C8B" w:rsidRDefault="00850C8B" w:rsidP="00850C8B">
      <w:pPr>
        <w:rPr>
          <w:rFonts w:ascii="Times New Roman" w:eastAsia="宋体" w:hAnsi="Times New Roman" w:cs="Times New Roman"/>
          <w:color w:val="000000"/>
          <w:sz w:val="32"/>
          <w:szCs w:val="32"/>
          <w14:ligatures w14:val="none"/>
        </w:rPr>
      </w:pPr>
      <w:r w:rsidRPr="00850C8B">
        <w:rPr>
          <w:rFonts w:ascii="Times New Roman" w:eastAsia="宋体" w:hAnsi="Times New Roman" w:cs="Times New Roman" w:hint="eastAsia"/>
          <w:color w:val="000000"/>
          <w:sz w:val="32"/>
          <w:szCs w:val="32"/>
          <w14:ligatures w14:val="none"/>
        </w:rPr>
        <w:t>文章思路</w:t>
      </w:r>
      <w:r>
        <w:rPr>
          <w:rFonts w:ascii="Times New Roman" w:eastAsia="宋体" w:hAnsi="Times New Roman" w:cs="Times New Roman" w:hint="eastAsia"/>
          <w:color w:val="000000"/>
          <w:sz w:val="32"/>
          <w:szCs w:val="32"/>
          <w14:ligatures w14:val="none"/>
        </w:rPr>
        <w:t>：</w:t>
      </w:r>
    </w:p>
    <w:p w14:paraId="25ED44C7" w14:textId="3E8F7599" w:rsidR="0063313D" w:rsidRDefault="00850C8B" w:rsidP="00192357">
      <w:pPr>
        <w:spacing w:line="360" w:lineRule="auto"/>
        <w:rPr>
          <w:rFonts w:ascii="Times New Roman" w:eastAsia="宋体" w:hAnsi="Times New Roman" w:cs="Times New Roman"/>
          <w:color w:val="000000"/>
          <w:sz w:val="24"/>
          <w:szCs w:val="24"/>
          <w14:ligatures w14:val="none"/>
        </w:rPr>
      </w:pPr>
      <w:r>
        <w:rPr>
          <w:rFonts w:ascii="Times New Roman" w:eastAsia="宋体" w:hAnsi="Times New Roman" w:cs="Times New Roman" w:hint="eastAsia"/>
          <w:color w:val="000000"/>
          <w:sz w:val="24"/>
          <w:szCs w:val="24"/>
          <w14:ligatures w14:val="none"/>
        </w:rPr>
        <w:t>研究背景：夏季地表气温的年际变化与高温热浪等极端事件的发生密切相关，对人类健康、农业生产和生态系统都有重要影响。以往研究大多分别针对欧亚大陆或北美大陆的夏季气温变化开展，表明大尺度环流遥相关以及太平洋和大西洋的海温异常均能分别影响两个大陆的区域气温，但是对于两个大陆夏季气温之间存在怎样的联系以及这种联系如何形成仍然不清楚，所以本文利用</w:t>
      </w:r>
      <w:r>
        <w:rPr>
          <w:rFonts w:ascii="Times New Roman" w:eastAsia="宋体" w:hAnsi="Times New Roman" w:cs="Times New Roman" w:hint="eastAsia"/>
          <w:color w:val="000000"/>
          <w:sz w:val="24"/>
          <w:szCs w:val="24"/>
          <w14:ligatures w14:val="none"/>
        </w:rPr>
        <w:t>1979</w:t>
      </w:r>
      <w:r w:rsidR="004B0C03">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2021</w:t>
      </w:r>
      <w:r>
        <w:rPr>
          <w:rFonts w:ascii="Times New Roman" w:eastAsia="宋体" w:hAnsi="Times New Roman" w:cs="Times New Roman" w:hint="eastAsia"/>
          <w:color w:val="000000"/>
          <w:sz w:val="24"/>
          <w:szCs w:val="24"/>
          <w14:ligatures w14:val="none"/>
        </w:rPr>
        <w:t>年的观测和再分析资料，对欧亚平原区和北美中东部夏季地表气温在年际尺度上的联系及其成因进行了识别和研究。</w:t>
      </w:r>
    </w:p>
    <w:p w14:paraId="2EC7C6F3" w14:textId="77777777" w:rsidR="00192357" w:rsidRDefault="00192357" w:rsidP="00192357">
      <w:pPr>
        <w:spacing w:line="360" w:lineRule="auto"/>
        <w:rPr>
          <w:rFonts w:ascii="Times New Roman" w:eastAsia="宋体" w:hAnsi="Times New Roman" w:cs="Times New Roman"/>
          <w:color w:val="000000"/>
          <w:sz w:val="24"/>
          <w:szCs w:val="24"/>
          <w14:ligatures w14:val="none"/>
        </w:rPr>
      </w:pPr>
    </w:p>
    <w:p w14:paraId="0D781BCE" w14:textId="77777777" w:rsidR="00213C3E" w:rsidRDefault="00213C3E" w:rsidP="00192357">
      <w:pPr>
        <w:spacing w:line="360" w:lineRule="auto"/>
        <w:rPr>
          <w:rFonts w:ascii="Times New Roman" w:eastAsia="宋体" w:hAnsi="Times New Roman" w:cs="Times New Roman"/>
          <w:color w:val="000000"/>
          <w:sz w:val="24"/>
          <w:szCs w:val="24"/>
          <w14:ligatures w14:val="none"/>
        </w:rPr>
      </w:pPr>
    </w:p>
    <w:p w14:paraId="327D0375" w14:textId="77777777" w:rsidR="00B206BF" w:rsidRPr="000A4D31" w:rsidRDefault="00192357" w:rsidP="00192357">
      <w:pPr>
        <w:spacing w:line="360" w:lineRule="auto"/>
        <w:rPr>
          <w:rFonts w:ascii="Times New Roman" w:eastAsia="宋体" w:hAnsi="Times New Roman" w:cs="Times New Roman"/>
          <w:color w:val="000000"/>
          <w:sz w:val="28"/>
          <w:szCs w:val="28"/>
          <w14:ligatures w14:val="none"/>
        </w:rPr>
      </w:pPr>
      <w:r w:rsidRPr="000A4D31">
        <w:rPr>
          <w:rFonts w:ascii="Times New Roman" w:eastAsia="宋体" w:hAnsi="Times New Roman" w:cs="Times New Roman" w:hint="eastAsia"/>
          <w:color w:val="000000"/>
          <w:sz w:val="28"/>
          <w:szCs w:val="28"/>
          <w14:ligatures w14:val="none"/>
        </w:rPr>
        <w:t>研究</w:t>
      </w:r>
      <w:r w:rsidR="00091821" w:rsidRPr="000A4D31">
        <w:rPr>
          <w:rFonts w:ascii="Times New Roman" w:eastAsia="宋体" w:hAnsi="Times New Roman" w:cs="Times New Roman" w:hint="eastAsia"/>
          <w:color w:val="000000"/>
          <w:sz w:val="28"/>
          <w:szCs w:val="28"/>
          <w14:ligatures w14:val="none"/>
        </w:rPr>
        <w:t>数据</w:t>
      </w:r>
      <w:r w:rsidRPr="000A4D31">
        <w:rPr>
          <w:rFonts w:ascii="Times New Roman" w:eastAsia="宋体" w:hAnsi="Times New Roman" w:cs="Times New Roman" w:hint="eastAsia"/>
          <w:color w:val="000000"/>
          <w:sz w:val="28"/>
          <w:szCs w:val="28"/>
          <w14:ligatures w14:val="none"/>
        </w:rPr>
        <w:t>：</w:t>
      </w:r>
    </w:p>
    <w:p w14:paraId="2C9519F1" w14:textId="5EEC9DD6" w:rsidR="0002014C" w:rsidRPr="00495FD1" w:rsidRDefault="00846912" w:rsidP="00192357">
      <w:pPr>
        <w:spacing w:line="360" w:lineRule="auto"/>
        <w:rPr>
          <w:rFonts w:ascii="Times New Roman" w:eastAsia="宋体" w:hAnsi="Times New Roman" w:cs="Times New Roman"/>
          <w:color w:val="000000"/>
          <w:sz w:val="24"/>
          <w:szCs w:val="24"/>
          <w14:ligatures w14:val="none"/>
        </w:rPr>
      </w:pPr>
      <w:r>
        <w:rPr>
          <w:rFonts w:ascii="Times New Roman" w:eastAsia="宋体" w:hAnsi="Times New Roman" w:cs="Times New Roman" w:hint="eastAsia"/>
          <w:b/>
          <w:bCs/>
          <w:color w:val="000000"/>
          <w:sz w:val="24"/>
          <w:szCs w:val="24"/>
          <w14:ligatures w14:val="none"/>
        </w:rPr>
        <w:t>CRU</w:t>
      </w:r>
      <w:r>
        <w:rPr>
          <w:rFonts w:ascii="Times New Roman" w:eastAsia="宋体" w:hAnsi="Times New Roman" w:cs="Times New Roman" w:hint="eastAsia"/>
          <w:b/>
          <w:bCs/>
          <w:color w:val="000000"/>
          <w:sz w:val="24"/>
          <w:szCs w:val="24"/>
          <w14:ligatures w14:val="none"/>
        </w:rPr>
        <w:t>数据：</w:t>
      </w:r>
      <w:r>
        <w:rPr>
          <w:rFonts w:ascii="Times New Roman" w:eastAsia="宋体" w:hAnsi="Times New Roman" w:cs="Times New Roman" w:hint="eastAsia"/>
          <w:color w:val="000000"/>
          <w:sz w:val="24"/>
          <w:szCs w:val="24"/>
          <w14:ligatures w14:val="none"/>
        </w:rPr>
        <w:t>东英吉利大学气候研究中心的高分辨率月平均陆地地表气温数据，版本为</w:t>
      </w:r>
      <w:r>
        <w:rPr>
          <w:rFonts w:ascii="Times New Roman" w:eastAsia="宋体" w:hAnsi="Times New Roman" w:cs="Times New Roman" w:hint="eastAsia"/>
          <w:color w:val="000000"/>
          <w:sz w:val="24"/>
          <w:szCs w:val="24"/>
          <w14:ligatures w14:val="none"/>
        </w:rPr>
        <w:t>4.06</w:t>
      </w:r>
      <w:r>
        <w:rPr>
          <w:rFonts w:ascii="Times New Roman" w:eastAsia="宋体" w:hAnsi="Times New Roman" w:cs="Times New Roman" w:hint="eastAsia"/>
          <w:color w:val="000000"/>
          <w:sz w:val="24"/>
          <w:szCs w:val="24"/>
          <w14:ligatures w14:val="none"/>
        </w:rPr>
        <w:t>，空间分辨率为</w:t>
      </w:r>
      <w:r>
        <w:rPr>
          <w:rFonts w:ascii="Times New Roman" w:eastAsia="宋体" w:hAnsi="Times New Roman" w:cs="Times New Roman" w:hint="eastAsia"/>
          <w:color w:val="000000"/>
          <w:sz w:val="24"/>
          <w:szCs w:val="24"/>
          <w14:ligatures w14:val="none"/>
        </w:rPr>
        <w:t>0.5</w:t>
      </w:r>
      <w:r>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0.5</w:t>
      </w:r>
      <w:r>
        <w:rPr>
          <w:rFonts w:ascii="Times New Roman" w:eastAsia="宋体" w:hAnsi="Times New Roman" w:cs="Times New Roman" w:hint="eastAsia"/>
          <w:color w:val="000000"/>
          <w:sz w:val="24"/>
          <w:szCs w:val="24"/>
          <w14:ligatures w14:val="none"/>
        </w:rPr>
        <w:t>°，基于台站观测记录构建。</w:t>
      </w:r>
      <w:r>
        <w:rPr>
          <w:rFonts w:ascii="Times New Roman" w:eastAsia="宋体" w:hAnsi="Times New Roman" w:cs="Times New Roman" w:hint="eastAsia"/>
          <w:b/>
          <w:bCs/>
          <w:color w:val="000000"/>
          <w:sz w:val="24"/>
          <w:szCs w:val="24"/>
          <w14:ligatures w14:val="none"/>
        </w:rPr>
        <w:t>JRA-55</w:t>
      </w:r>
      <w:r>
        <w:rPr>
          <w:rFonts w:ascii="Times New Roman" w:eastAsia="宋体" w:hAnsi="Times New Roman" w:cs="Times New Roman" w:hint="eastAsia"/>
          <w:b/>
          <w:bCs/>
          <w:color w:val="000000"/>
          <w:sz w:val="24"/>
          <w:szCs w:val="24"/>
          <w14:ligatures w14:val="none"/>
        </w:rPr>
        <w:t>数据：</w:t>
      </w:r>
      <w:r>
        <w:rPr>
          <w:rFonts w:ascii="Times New Roman" w:eastAsia="宋体" w:hAnsi="Times New Roman" w:cs="Times New Roman" w:hint="eastAsia"/>
          <w:color w:val="000000"/>
          <w:sz w:val="24"/>
          <w:szCs w:val="24"/>
          <w14:ligatures w14:val="none"/>
        </w:rPr>
        <w:t>日本气象厅</w:t>
      </w:r>
      <w:r>
        <w:rPr>
          <w:rFonts w:ascii="Times New Roman" w:eastAsia="宋体" w:hAnsi="Times New Roman" w:cs="Times New Roman" w:hint="eastAsia"/>
          <w:color w:val="000000"/>
          <w:sz w:val="24"/>
          <w:szCs w:val="24"/>
          <w14:ligatures w14:val="none"/>
        </w:rPr>
        <w:t>55</w:t>
      </w:r>
      <w:r>
        <w:rPr>
          <w:rFonts w:ascii="Times New Roman" w:eastAsia="宋体" w:hAnsi="Times New Roman" w:cs="Times New Roman" w:hint="eastAsia"/>
          <w:color w:val="000000"/>
          <w:sz w:val="24"/>
          <w:szCs w:val="24"/>
          <w14:ligatures w14:val="none"/>
        </w:rPr>
        <w:t>年再分析资料，变量包括月平均风场和位势高度，空间分辨率为</w:t>
      </w:r>
      <w:r>
        <w:rPr>
          <w:rFonts w:ascii="Times New Roman" w:eastAsia="宋体" w:hAnsi="Times New Roman" w:cs="Times New Roman" w:hint="eastAsia"/>
          <w:color w:val="000000"/>
          <w:sz w:val="24"/>
          <w:szCs w:val="24"/>
          <w14:ligatures w14:val="none"/>
        </w:rPr>
        <w:t>1.25</w:t>
      </w:r>
      <w:r>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1.25</w:t>
      </w:r>
      <w:r>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b/>
          <w:bCs/>
          <w:color w:val="000000"/>
          <w:sz w:val="24"/>
          <w:szCs w:val="24"/>
          <w14:ligatures w14:val="none"/>
        </w:rPr>
        <w:t>ERSSTv5</w:t>
      </w:r>
      <w:r>
        <w:rPr>
          <w:rFonts w:ascii="Times New Roman" w:eastAsia="宋体" w:hAnsi="Times New Roman" w:cs="Times New Roman" w:hint="eastAsia"/>
          <w:b/>
          <w:bCs/>
          <w:color w:val="000000"/>
          <w:sz w:val="24"/>
          <w:szCs w:val="24"/>
          <w14:ligatures w14:val="none"/>
        </w:rPr>
        <w:t>数据：</w:t>
      </w:r>
      <w:r>
        <w:rPr>
          <w:rFonts w:ascii="Times New Roman" w:eastAsia="宋体" w:hAnsi="Times New Roman" w:cs="Times New Roman" w:hint="eastAsia"/>
          <w:color w:val="000000"/>
          <w:sz w:val="24"/>
          <w:szCs w:val="24"/>
          <w14:ligatures w14:val="none"/>
        </w:rPr>
        <w:t>NOAA</w:t>
      </w:r>
      <w:r>
        <w:rPr>
          <w:rFonts w:ascii="Times New Roman" w:eastAsia="宋体" w:hAnsi="Times New Roman" w:cs="Times New Roman" w:hint="eastAsia"/>
          <w:color w:val="000000"/>
          <w:sz w:val="24"/>
          <w:szCs w:val="24"/>
          <w14:ligatures w14:val="none"/>
        </w:rPr>
        <w:t>第五版扩展重建月平均海表温度，空间分辨率为</w:t>
      </w:r>
      <w:r>
        <w:rPr>
          <w:rFonts w:ascii="Times New Roman" w:eastAsia="宋体" w:hAnsi="Times New Roman" w:cs="Times New Roman" w:hint="eastAsia"/>
          <w:color w:val="000000"/>
          <w:sz w:val="24"/>
          <w:szCs w:val="24"/>
          <w14:ligatures w14:val="none"/>
        </w:rPr>
        <w:t>2</w:t>
      </w:r>
      <w:r>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2</w:t>
      </w:r>
      <w:r>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b/>
          <w:bCs/>
          <w:color w:val="000000"/>
          <w:sz w:val="24"/>
          <w:szCs w:val="24"/>
          <w14:ligatures w14:val="none"/>
        </w:rPr>
        <w:t>分析时段：</w:t>
      </w:r>
      <w:r>
        <w:rPr>
          <w:rFonts w:ascii="Times New Roman" w:eastAsia="宋体" w:hAnsi="Times New Roman" w:cs="Times New Roman" w:hint="eastAsia"/>
          <w:color w:val="000000"/>
          <w:sz w:val="24"/>
          <w:szCs w:val="24"/>
          <w14:ligatures w14:val="none"/>
        </w:rPr>
        <w:t>1979</w:t>
      </w:r>
      <w:r w:rsidR="005A39AC">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2021</w:t>
      </w:r>
      <w:r>
        <w:rPr>
          <w:rFonts w:ascii="Times New Roman" w:eastAsia="宋体" w:hAnsi="Times New Roman" w:cs="Times New Roman" w:hint="eastAsia"/>
          <w:color w:val="000000"/>
          <w:sz w:val="24"/>
          <w:szCs w:val="24"/>
          <w14:ligatures w14:val="none"/>
        </w:rPr>
        <w:t>年，重点关注夏季</w:t>
      </w:r>
      <w:r>
        <w:rPr>
          <w:rFonts w:ascii="Times New Roman" w:eastAsia="宋体" w:hAnsi="Times New Roman" w:cs="Times New Roman" w:hint="eastAsia"/>
          <w:color w:val="000000"/>
          <w:sz w:val="24"/>
          <w:szCs w:val="24"/>
          <w14:ligatures w14:val="none"/>
        </w:rPr>
        <w:t>6</w:t>
      </w:r>
      <w:r w:rsidR="005A39AC">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8</w:t>
      </w:r>
      <w:r>
        <w:rPr>
          <w:rFonts w:ascii="Times New Roman" w:eastAsia="宋体" w:hAnsi="Times New Roman" w:cs="Times New Roman" w:hint="eastAsia"/>
          <w:color w:val="000000"/>
          <w:sz w:val="24"/>
          <w:szCs w:val="24"/>
          <w14:ligatures w14:val="none"/>
        </w:rPr>
        <w:t>月，所有数据在分析前均去除线性趋势，以聚焦年际变率。</w:t>
      </w:r>
    </w:p>
    <w:p w14:paraId="7A54BE2C" w14:textId="77777777" w:rsidR="0002014C" w:rsidRPr="00D16F0F" w:rsidRDefault="0002014C" w:rsidP="00192357">
      <w:pPr>
        <w:spacing w:line="360" w:lineRule="auto"/>
        <w:rPr>
          <w:rFonts w:ascii="Times New Roman" w:eastAsia="宋体" w:hAnsi="Times New Roman" w:cs="Times New Roman"/>
          <w:color w:val="000000"/>
          <w:sz w:val="24"/>
          <w:szCs w:val="24"/>
          <w14:ligatures w14:val="none"/>
        </w:rPr>
      </w:pPr>
    </w:p>
    <w:p w14:paraId="23BA9A65" w14:textId="77777777" w:rsidR="00B206BF" w:rsidRPr="000A4D31" w:rsidRDefault="00091821" w:rsidP="00192357">
      <w:pPr>
        <w:spacing w:line="360" w:lineRule="auto"/>
        <w:rPr>
          <w:rFonts w:ascii="Times New Roman" w:eastAsia="宋体" w:hAnsi="Times New Roman" w:cs="Times New Roman"/>
          <w:color w:val="000000"/>
          <w:sz w:val="28"/>
          <w:szCs w:val="28"/>
          <w14:ligatures w14:val="none"/>
        </w:rPr>
      </w:pPr>
      <w:r w:rsidRPr="000A4D31">
        <w:rPr>
          <w:rFonts w:ascii="Times New Roman" w:eastAsia="宋体" w:hAnsi="Times New Roman" w:cs="Times New Roman" w:hint="eastAsia"/>
          <w:color w:val="000000"/>
          <w:sz w:val="28"/>
          <w:szCs w:val="28"/>
          <w14:ligatures w14:val="none"/>
        </w:rPr>
        <w:t>研究方法</w:t>
      </w:r>
      <w:r w:rsidR="009E6B44" w:rsidRPr="000A4D31">
        <w:rPr>
          <w:rFonts w:ascii="Times New Roman" w:eastAsia="宋体" w:hAnsi="Times New Roman" w:cs="Times New Roman" w:hint="eastAsia"/>
          <w:color w:val="000000"/>
          <w:sz w:val="28"/>
          <w:szCs w:val="28"/>
          <w14:ligatures w14:val="none"/>
        </w:rPr>
        <w:t>：</w:t>
      </w:r>
    </w:p>
    <w:p w14:paraId="7CF1F558" w14:textId="54D539FF" w:rsidR="00402CCC" w:rsidRPr="00DB7A83" w:rsidRDefault="006145B4" w:rsidP="00192357">
      <w:pPr>
        <w:spacing w:line="360" w:lineRule="auto"/>
        <w:rPr>
          <w:rFonts w:ascii="Times New Roman" w:eastAsia="宋体" w:hAnsi="Times New Roman" w:cs="Times New Roman"/>
          <w:color w:val="000000"/>
          <w:sz w:val="24"/>
          <w:szCs w:val="24"/>
          <w14:ligatures w14:val="none"/>
        </w:rPr>
      </w:pPr>
      <w:r>
        <w:rPr>
          <w:rFonts w:ascii="Times New Roman" w:eastAsia="宋体" w:hAnsi="Times New Roman" w:cs="Times New Roman" w:hint="eastAsia"/>
          <w:b/>
          <w:bCs/>
          <w:color w:val="000000"/>
          <w:sz w:val="24"/>
          <w:szCs w:val="24"/>
          <w14:ligatures w14:val="none"/>
        </w:rPr>
        <w:lastRenderedPageBreak/>
        <w:t>EOF</w:t>
      </w:r>
      <w:r>
        <w:rPr>
          <w:rFonts w:ascii="Times New Roman" w:eastAsia="宋体" w:hAnsi="Times New Roman" w:cs="Times New Roman" w:hint="eastAsia"/>
          <w:b/>
          <w:bCs/>
          <w:color w:val="000000"/>
          <w:sz w:val="24"/>
          <w:szCs w:val="24"/>
          <w14:ligatures w14:val="none"/>
        </w:rPr>
        <w:t>分析：</w:t>
      </w:r>
      <w:r>
        <w:rPr>
          <w:rFonts w:ascii="Times New Roman" w:eastAsia="宋体" w:hAnsi="Times New Roman" w:cs="Times New Roman" w:hint="eastAsia"/>
          <w:color w:val="000000"/>
          <w:sz w:val="24"/>
          <w:szCs w:val="24"/>
          <w14:ligatures w14:val="none"/>
        </w:rPr>
        <w:t>对北半球陆地夏季地表气温异常进行面积加权后做</w:t>
      </w:r>
      <w:r>
        <w:rPr>
          <w:rFonts w:ascii="Times New Roman" w:eastAsia="宋体" w:hAnsi="Times New Roman" w:cs="Times New Roman" w:hint="eastAsia"/>
          <w:color w:val="000000"/>
          <w:sz w:val="24"/>
          <w:szCs w:val="24"/>
          <w14:ligatures w14:val="none"/>
        </w:rPr>
        <w:t>EOF</w:t>
      </w:r>
      <w:r>
        <w:rPr>
          <w:rFonts w:ascii="Times New Roman" w:eastAsia="宋体" w:hAnsi="Times New Roman" w:cs="Times New Roman" w:hint="eastAsia"/>
          <w:color w:val="000000"/>
          <w:sz w:val="24"/>
          <w:szCs w:val="24"/>
          <w14:ligatures w14:val="none"/>
        </w:rPr>
        <w:t>分析，得到气温变化的第一模态</w:t>
      </w:r>
      <w:r w:rsidR="005A39AC">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对中高纬度</w:t>
      </w:r>
      <w:r>
        <w:rPr>
          <w:rFonts w:ascii="Times New Roman" w:eastAsia="宋体" w:hAnsi="Times New Roman" w:cs="Times New Roman" w:hint="eastAsia"/>
          <w:color w:val="000000"/>
          <w:sz w:val="24"/>
          <w:szCs w:val="24"/>
          <w14:ligatures w14:val="none"/>
        </w:rPr>
        <w:t>35</w:t>
      </w:r>
      <w:r w:rsidR="00AD0500">
        <w:rPr>
          <w:rFonts w:ascii="Times New Roman" w:eastAsia="宋体" w:hAnsi="Times New Roman" w:cs="Times New Roman" w:hint="eastAsia"/>
          <w:color w:val="000000"/>
          <w:sz w:val="24"/>
          <w:szCs w:val="24"/>
          <w14:ligatures w14:val="none"/>
        </w:rPr>
        <w:t>°</w:t>
      </w:r>
      <w:r w:rsidR="005A39AC">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75</w:t>
      </w:r>
      <w:r>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N</w:t>
      </w:r>
      <w:r>
        <w:rPr>
          <w:rFonts w:ascii="Times New Roman" w:eastAsia="宋体" w:hAnsi="Times New Roman" w:cs="Times New Roman" w:hint="eastAsia"/>
          <w:color w:val="000000"/>
          <w:sz w:val="24"/>
          <w:szCs w:val="24"/>
          <w14:ligatures w14:val="none"/>
        </w:rPr>
        <w:t>范围的</w:t>
      </w:r>
      <w:r>
        <w:rPr>
          <w:rFonts w:ascii="Times New Roman" w:eastAsia="宋体" w:hAnsi="Times New Roman" w:cs="Times New Roman" w:hint="eastAsia"/>
          <w:color w:val="000000"/>
          <w:sz w:val="24"/>
          <w:szCs w:val="24"/>
          <w14:ligatures w14:val="none"/>
        </w:rPr>
        <w:t>200hPa</w:t>
      </w:r>
      <w:r>
        <w:rPr>
          <w:rFonts w:ascii="Times New Roman" w:eastAsia="宋体" w:hAnsi="Times New Roman" w:cs="Times New Roman" w:hint="eastAsia"/>
          <w:color w:val="000000"/>
          <w:sz w:val="24"/>
          <w:szCs w:val="24"/>
          <w14:ligatures w14:val="none"/>
        </w:rPr>
        <w:t>夏季位势高度异常做</w:t>
      </w:r>
      <w:r>
        <w:rPr>
          <w:rFonts w:ascii="Times New Roman" w:eastAsia="宋体" w:hAnsi="Times New Roman" w:cs="Times New Roman" w:hint="eastAsia"/>
          <w:color w:val="000000"/>
          <w:sz w:val="24"/>
          <w:szCs w:val="24"/>
          <w14:ligatures w14:val="none"/>
        </w:rPr>
        <w:t>EOF</w:t>
      </w:r>
      <w:r>
        <w:rPr>
          <w:rFonts w:ascii="Times New Roman" w:eastAsia="宋体" w:hAnsi="Times New Roman" w:cs="Times New Roman" w:hint="eastAsia"/>
          <w:color w:val="000000"/>
          <w:sz w:val="24"/>
          <w:szCs w:val="24"/>
          <w14:ligatures w14:val="none"/>
        </w:rPr>
        <w:t>分析，得到对流层上层环流的主导模态</w:t>
      </w:r>
      <w:r w:rsidR="005A39AC">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对春季太平洋</w:t>
      </w:r>
      <w:r>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大西洋扇区的</w:t>
      </w:r>
      <w:r>
        <w:rPr>
          <w:rFonts w:ascii="Times New Roman" w:eastAsia="宋体" w:hAnsi="Times New Roman" w:cs="Times New Roman" w:hint="eastAsia"/>
          <w:color w:val="000000"/>
          <w:sz w:val="24"/>
          <w:szCs w:val="24"/>
          <w14:ligatures w14:val="none"/>
        </w:rPr>
        <w:t>200hPa</w:t>
      </w:r>
      <w:r>
        <w:rPr>
          <w:rFonts w:ascii="Times New Roman" w:eastAsia="宋体" w:hAnsi="Times New Roman" w:cs="Times New Roman" w:hint="eastAsia"/>
          <w:color w:val="000000"/>
          <w:sz w:val="24"/>
          <w:szCs w:val="24"/>
          <w14:ligatures w14:val="none"/>
        </w:rPr>
        <w:t>位势高度异常，先剔除前期冬季尼诺</w:t>
      </w:r>
      <w:r>
        <w:rPr>
          <w:rFonts w:ascii="Times New Roman" w:eastAsia="宋体" w:hAnsi="Times New Roman" w:cs="Times New Roman" w:hint="eastAsia"/>
          <w:color w:val="000000"/>
          <w:sz w:val="24"/>
          <w:szCs w:val="24"/>
          <w14:ligatures w14:val="none"/>
        </w:rPr>
        <w:t>3.4</w:t>
      </w:r>
      <w:r>
        <w:rPr>
          <w:rFonts w:ascii="Times New Roman" w:eastAsia="宋体" w:hAnsi="Times New Roman" w:cs="Times New Roman" w:hint="eastAsia"/>
          <w:color w:val="000000"/>
          <w:sz w:val="24"/>
          <w:szCs w:val="24"/>
          <w14:ligatures w14:val="none"/>
        </w:rPr>
        <w:t>指数的线性影响后再做</w:t>
      </w:r>
      <w:r>
        <w:rPr>
          <w:rFonts w:ascii="Times New Roman" w:eastAsia="宋体" w:hAnsi="Times New Roman" w:cs="Times New Roman" w:hint="eastAsia"/>
          <w:color w:val="000000"/>
          <w:sz w:val="24"/>
          <w:szCs w:val="24"/>
          <w14:ligatures w14:val="none"/>
        </w:rPr>
        <w:t>EOF</w:t>
      </w:r>
      <w:r>
        <w:rPr>
          <w:rFonts w:ascii="Times New Roman" w:eastAsia="宋体" w:hAnsi="Times New Roman" w:cs="Times New Roman" w:hint="eastAsia"/>
          <w:color w:val="000000"/>
          <w:sz w:val="24"/>
          <w:szCs w:val="24"/>
          <w14:ligatures w14:val="none"/>
        </w:rPr>
        <w:t>分析，其第一模态的主成分记为</w:t>
      </w:r>
      <w:r>
        <w:rPr>
          <w:rFonts w:ascii="Times New Roman" w:eastAsia="宋体" w:hAnsi="Times New Roman" w:cs="Times New Roman" w:hint="eastAsia"/>
          <w:color w:val="000000"/>
          <w:sz w:val="24"/>
          <w:szCs w:val="24"/>
          <w14:ligatures w14:val="none"/>
        </w:rPr>
        <w:t>PC1-Spring</w:t>
      </w:r>
      <w:r>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b/>
          <w:bCs/>
          <w:color w:val="000000"/>
          <w:sz w:val="24"/>
          <w:szCs w:val="24"/>
          <w14:ligatures w14:val="none"/>
        </w:rPr>
        <w:t>区域气温指数：</w:t>
      </w:r>
      <w:r>
        <w:rPr>
          <w:rFonts w:ascii="Times New Roman" w:eastAsia="宋体" w:hAnsi="Times New Roman" w:cs="Times New Roman" w:hint="eastAsia"/>
          <w:color w:val="000000"/>
          <w:sz w:val="24"/>
          <w:szCs w:val="24"/>
          <w14:ligatures w14:val="none"/>
        </w:rPr>
        <w:t>欧亚平原区取</w:t>
      </w:r>
      <w:r>
        <w:rPr>
          <w:rFonts w:ascii="Times New Roman" w:eastAsia="宋体" w:hAnsi="Times New Roman" w:cs="Times New Roman" w:hint="eastAsia"/>
          <w:color w:val="000000"/>
          <w:sz w:val="24"/>
          <w:szCs w:val="24"/>
          <w14:ligatures w14:val="none"/>
        </w:rPr>
        <w:t>40</w:t>
      </w:r>
      <w:r>
        <w:rPr>
          <w:rFonts w:ascii="Times New Roman" w:eastAsia="宋体" w:hAnsi="Times New Roman" w:cs="Times New Roman" w:hint="eastAsia"/>
          <w:color w:val="000000"/>
          <w:sz w:val="24"/>
          <w:szCs w:val="24"/>
          <w14:ligatures w14:val="none"/>
        </w:rPr>
        <w:t>°</w:t>
      </w:r>
      <w:r w:rsidR="005A39AC">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75</w:t>
      </w:r>
      <w:r>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N</w:t>
      </w:r>
      <w:r>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35</w:t>
      </w:r>
      <w:r>
        <w:rPr>
          <w:rFonts w:ascii="Times New Roman" w:eastAsia="宋体" w:hAnsi="Times New Roman" w:cs="Times New Roman" w:hint="eastAsia"/>
          <w:color w:val="000000"/>
          <w:sz w:val="24"/>
          <w:szCs w:val="24"/>
          <w14:ligatures w14:val="none"/>
        </w:rPr>
        <w:t>°</w:t>
      </w:r>
      <w:r w:rsidR="005A39AC">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85</w:t>
      </w:r>
      <w:r>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E</w:t>
      </w:r>
      <w:r>
        <w:rPr>
          <w:rFonts w:ascii="Times New Roman" w:eastAsia="宋体" w:hAnsi="Times New Roman" w:cs="Times New Roman" w:hint="eastAsia"/>
          <w:color w:val="000000"/>
          <w:sz w:val="24"/>
          <w:szCs w:val="24"/>
          <w14:ligatures w14:val="none"/>
        </w:rPr>
        <w:t>，北美区域取</w:t>
      </w:r>
      <w:r>
        <w:rPr>
          <w:rFonts w:ascii="Times New Roman" w:eastAsia="宋体" w:hAnsi="Times New Roman" w:cs="Times New Roman" w:hint="eastAsia"/>
          <w:color w:val="000000"/>
          <w:sz w:val="24"/>
          <w:szCs w:val="24"/>
          <w14:ligatures w14:val="none"/>
        </w:rPr>
        <w:t>35</w:t>
      </w:r>
      <w:r>
        <w:rPr>
          <w:rFonts w:ascii="Times New Roman" w:eastAsia="宋体" w:hAnsi="Times New Roman" w:cs="Times New Roman" w:hint="eastAsia"/>
          <w:color w:val="000000"/>
          <w:sz w:val="24"/>
          <w:szCs w:val="24"/>
          <w14:ligatures w14:val="none"/>
        </w:rPr>
        <w:t>°</w:t>
      </w:r>
      <w:r w:rsidR="005A39AC">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75</w:t>
      </w:r>
      <w:r>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N</w:t>
      </w:r>
      <w:r>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115</w:t>
      </w:r>
      <w:r>
        <w:rPr>
          <w:rFonts w:ascii="Times New Roman" w:eastAsia="宋体" w:hAnsi="Times New Roman" w:cs="Times New Roman" w:hint="eastAsia"/>
          <w:color w:val="000000"/>
          <w:sz w:val="24"/>
          <w:szCs w:val="24"/>
          <w14:ligatures w14:val="none"/>
        </w:rPr>
        <w:t>°</w:t>
      </w:r>
      <w:r w:rsidR="005A39AC">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60</w:t>
      </w:r>
      <w:r>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W</w:t>
      </w:r>
      <w:r>
        <w:rPr>
          <w:rFonts w:ascii="Times New Roman" w:eastAsia="宋体" w:hAnsi="Times New Roman" w:cs="Times New Roman" w:hint="eastAsia"/>
          <w:color w:val="000000"/>
          <w:sz w:val="24"/>
          <w:szCs w:val="24"/>
          <w14:ligatures w14:val="none"/>
        </w:rPr>
        <w:t>，两个区域平均的夏季地表气温异常经标准化后分别记为</w:t>
      </w:r>
      <w:r>
        <w:rPr>
          <w:rFonts w:ascii="Times New Roman" w:eastAsia="宋体" w:hAnsi="Times New Roman" w:cs="Times New Roman" w:hint="eastAsia"/>
          <w:color w:val="000000"/>
          <w:sz w:val="24"/>
          <w:szCs w:val="24"/>
          <w14:ligatures w14:val="none"/>
        </w:rPr>
        <w:t>EPI</w:t>
      </w:r>
      <w:r>
        <w:rPr>
          <w:rFonts w:ascii="Times New Roman" w:eastAsia="宋体" w:hAnsi="Times New Roman" w:cs="Times New Roman" w:hint="eastAsia"/>
          <w:color w:val="000000"/>
          <w:sz w:val="24"/>
          <w:szCs w:val="24"/>
          <w14:ligatures w14:val="none"/>
        </w:rPr>
        <w:t>和</w:t>
      </w:r>
      <w:r>
        <w:rPr>
          <w:rFonts w:ascii="Times New Roman" w:eastAsia="宋体" w:hAnsi="Times New Roman" w:cs="Times New Roman" w:hint="eastAsia"/>
          <w:color w:val="000000"/>
          <w:sz w:val="24"/>
          <w:szCs w:val="24"/>
          <w14:ligatures w14:val="none"/>
        </w:rPr>
        <w:t>NAI</w:t>
      </w:r>
      <w:r>
        <w:rPr>
          <w:rFonts w:ascii="Times New Roman" w:eastAsia="宋体" w:hAnsi="Times New Roman" w:cs="Times New Roman" w:hint="eastAsia"/>
          <w:color w:val="000000"/>
          <w:sz w:val="24"/>
          <w:szCs w:val="24"/>
          <w14:ligatures w14:val="none"/>
        </w:rPr>
        <w:t>，两者之和记为</w:t>
      </w:r>
      <w:r>
        <w:rPr>
          <w:rFonts w:ascii="Times New Roman" w:eastAsia="宋体" w:hAnsi="Times New Roman" w:cs="Times New Roman" w:hint="eastAsia"/>
          <w:color w:val="000000"/>
          <w:sz w:val="24"/>
          <w:szCs w:val="24"/>
          <w14:ligatures w14:val="none"/>
        </w:rPr>
        <w:t>EP-NAI</w:t>
      </w:r>
      <w:r>
        <w:rPr>
          <w:rFonts w:ascii="Times New Roman" w:eastAsia="宋体" w:hAnsi="Times New Roman" w:cs="Times New Roman" w:hint="eastAsia"/>
          <w:color w:val="000000"/>
          <w:sz w:val="24"/>
          <w:szCs w:val="24"/>
          <w14:ligatures w14:val="none"/>
        </w:rPr>
        <w:t>，用以表征两个大陆气温的同位相变化。</w:t>
      </w:r>
      <w:r>
        <w:rPr>
          <w:rFonts w:ascii="Times New Roman" w:eastAsia="宋体" w:hAnsi="Times New Roman" w:cs="Times New Roman" w:hint="eastAsia"/>
          <w:b/>
          <w:bCs/>
          <w:color w:val="000000"/>
          <w:sz w:val="24"/>
          <w:szCs w:val="24"/>
          <w14:ligatures w14:val="none"/>
        </w:rPr>
        <w:t>海温指数：</w:t>
      </w:r>
      <w:r>
        <w:rPr>
          <w:rFonts w:ascii="Times New Roman" w:eastAsia="宋体" w:hAnsi="Times New Roman" w:cs="Times New Roman" w:hint="eastAsia"/>
          <w:color w:val="000000"/>
          <w:sz w:val="24"/>
          <w:szCs w:val="24"/>
          <w14:ligatures w14:val="none"/>
        </w:rPr>
        <w:t>太平洋海温指数取东北太平洋和热带中东太平洋的区域平均海温异常，大西洋海温指数取北大西洋和热带北大西洋的区域平均海温异常，大西洋海温指数减去太平洋海温指数记为大西洋</w:t>
      </w:r>
      <w:r>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太平洋海温指数。</w:t>
      </w:r>
      <w:r>
        <w:rPr>
          <w:rFonts w:ascii="Times New Roman" w:eastAsia="宋体" w:hAnsi="Times New Roman" w:cs="Times New Roman" w:hint="eastAsia"/>
          <w:b/>
          <w:bCs/>
          <w:color w:val="000000"/>
          <w:sz w:val="24"/>
          <w:szCs w:val="24"/>
          <w14:ligatures w14:val="none"/>
        </w:rPr>
        <w:t>环流指数：</w:t>
      </w:r>
      <w:r>
        <w:rPr>
          <w:rFonts w:ascii="Times New Roman" w:eastAsia="宋体" w:hAnsi="Times New Roman" w:cs="Times New Roman" w:hint="eastAsia"/>
          <w:color w:val="000000"/>
          <w:sz w:val="24"/>
          <w:szCs w:val="24"/>
          <w14:ligatures w14:val="none"/>
        </w:rPr>
        <w:t>基于北半球</w:t>
      </w:r>
      <w:r>
        <w:rPr>
          <w:rFonts w:ascii="Times New Roman" w:eastAsia="宋体" w:hAnsi="Times New Roman" w:cs="Times New Roman" w:hint="eastAsia"/>
          <w:color w:val="000000"/>
          <w:sz w:val="24"/>
          <w:szCs w:val="24"/>
          <w14:ligatures w14:val="none"/>
        </w:rPr>
        <w:t>500hPa</w:t>
      </w:r>
      <w:r>
        <w:rPr>
          <w:rFonts w:ascii="Times New Roman" w:eastAsia="宋体" w:hAnsi="Times New Roman" w:cs="Times New Roman" w:hint="eastAsia"/>
          <w:color w:val="000000"/>
          <w:sz w:val="24"/>
          <w:szCs w:val="24"/>
          <w14:ligatures w14:val="none"/>
        </w:rPr>
        <w:t>位势高度的</w:t>
      </w:r>
      <w:r>
        <w:rPr>
          <w:rFonts w:ascii="Times New Roman" w:eastAsia="宋体" w:hAnsi="Times New Roman" w:cs="Times New Roman" w:hint="eastAsia"/>
          <w:color w:val="000000"/>
          <w:sz w:val="24"/>
          <w:szCs w:val="24"/>
          <w14:ligatures w14:val="none"/>
        </w:rPr>
        <w:t>EOF</w:t>
      </w:r>
      <w:r>
        <w:rPr>
          <w:rFonts w:ascii="Times New Roman" w:eastAsia="宋体" w:hAnsi="Times New Roman" w:cs="Times New Roman" w:hint="eastAsia"/>
          <w:color w:val="000000"/>
          <w:sz w:val="24"/>
          <w:szCs w:val="24"/>
          <w14:ligatures w14:val="none"/>
        </w:rPr>
        <w:t>分析得到太平洋</w:t>
      </w:r>
      <w:r>
        <w:rPr>
          <w:rFonts w:ascii="Times New Roman" w:eastAsia="宋体" w:hAnsi="Times New Roman" w:cs="Times New Roman" w:hint="eastAsia"/>
          <w:color w:val="000000"/>
          <w:sz w:val="24"/>
          <w:szCs w:val="24"/>
          <w14:ligatures w14:val="none"/>
        </w:rPr>
        <w:t>-</w:t>
      </w:r>
      <w:r>
        <w:rPr>
          <w:rFonts w:ascii="Times New Roman" w:eastAsia="宋体" w:hAnsi="Times New Roman" w:cs="Times New Roman" w:hint="eastAsia"/>
          <w:color w:val="000000"/>
          <w:sz w:val="24"/>
          <w:szCs w:val="24"/>
          <w14:ligatures w14:val="none"/>
        </w:rPr>
        <w:t>北美遥相关（</w:t>
      </w:r>
      <w:r>
        <w:rPr>
          <w:rFonts w:ascii="Times New Roman" w:eastAsia="宋体" w:hAnsi="Times New Roman" w:cs="Times New Roman" w:hint="eastAsia"/>
          <w:color w:val="000000"/>
          <w:sz w:val="24"/>
          <w:szCs w:val="24"/>
          <w14:ligatures w14:val="none"/>
        </w:rPr>
        <w:t>PNA</w:t>
      </w:r>
      <w:r>
        <w:rPr>
          <w:rFonts w:ascii="Times New Roman" w:eastAsia="宋体" w:hAnsi="Times New Roman" w:cs="Times New Roman" w:hint="eastAsia"/>
          <w:color w:val="000000"/>
          <w:sz w:val="24"/>
          <w:szCs w:val="24"/>
          <w14:ligatures w14:val="none"/>
        </w:rPr>
        <w:t>）和北大西洋涛动（</w:t>
      </w:r>
      <w:r>
        <w:rPr>
          <w:rFonts w:ascii="Times New Roman" w:eastAsia="宋体" w:hAnsi="Times New Roman" w:cs="Times New Roman" w:hint="eastAsia"/>
          <w:color w:val="000000"/>
          <w:sz w:val="24"/>
          <w:szCs w:val="24"/>
          <w14:ligatures w14:val="none"/>
        </w:rPr>
        <w:t>NAO</w:t>
      </w:r>
      <w:r>
        <w:rPr>
          <w:rFonts w:ascii="Times New Roman" w:eastAsia="宋体" w:hAnsi="Times New Roman" w:cs="Times New Roman" w:hint="eastAsia"/>
          <w:color w:val="000000"/>
          <w:sz w:val="24"/>
          <w:szCs w:val="24"/>
          <w14:ligatures w14:val="none"/>
        </w:rPr>
        <w:t>）指数，计算时剔除了前期冬季的</w:t>
      </w:r>
      <w:r>
        <w:rPr>
          <w:rFonts w:ascii="Times New Roman" w:eastAsia="宋体" w:hAnsi="Times New Roman" w:cs="Times New Roman" w:hint="eastAsia"/>
          <w:color w:val="000000"/>
          <w:sz w:val="24"/>
          <w:szCs w:val="24"/>
          <w14:ligatures w14:val="none"/>
        </w:rPr>
        <w:t>ENSO</w:t>
      </w:r>
      <w:r>
        <w:rPr>
          <w:rFonts w:ascii="Times New Roman" w:eastAsia="宋体" w:hAnsi="Times New Roman" w:cs="Times New Roman" w:hint="eastAsia"/>
          <w:color w:val="000000"/>
          <w:sz w:val="24"/>
          <w:szCs w:val="24"/>
          <w14:ligatures w14:val="none"/>
        </w:rPr>
        <w:t>信号。</w:t>
      </w:r>
      <w:r>
        <w:rPr>
          <w:rFonts w:ascii="Times New Roman" w:eastAsia="宋体" w:hAnsi="Times New Roman" w:cs="Times New Roman" w:hint="eastAsia"/>
          <w:b/>
          <w:bCs/>
          <w:color w:val="000000"/>
          <w:sz w:val="24"/>
          <w:szCs w:val="24"/>
          <w14:ligatures w14:val="none"/>
        </w:rPr>
        <w:t>SVD</w:t>
      </w:r>
      <w:r>
        <w:rPr>
          <w:rFonts w:ascii="Times New Roman" w:eastAsia="宋体" w:hAnsi="Times New Roman" w:cs="Times New Roman" w:hint="eastAsia"/>
          <w:b/>
          <w:bCs/>
          <w:color w:val="000000"/>
          <w:sz w:val="24"/>
          <w:szCs w:val="24"/>
          <w14:ligatures w14:val="none"/>
        </w:rPr>
        <w:t>分析：</w:t>
      </w:r>
      <w:r>
        <w:rPr>
          <w:rFonts w:ascii="Times New Roman" w:eastAsia="宋体" w:hAnsi="Times New Roman" w:cs="Times New Roman" w:hint="eastAsia"/>
          <w:color w:val="000000"/>
          <w:sz w:val="24"/>
          <w:szCs w:val="24"/>
          <w14:ligatures w14:val="none"/>
        </w:rPr>
        <w:t>对春季</w:t>
      </w:r>
      <w:r>
        <w:rPr>
          <w:rFonts w:ascii="Times New Roman" w:eastAsia="宋体" w:hAnsi="Times New Roman" w:cs="Times New Roman" w:hint="eastAsia"/>
          <w:color w:val="000000"/>
          <w:sz w:val="24"/>
          <w:szCs w:val="24"/>
          <w14:ligatures w14:val="none"/>
        </w:rPr>
        <w:t>200hPa</w:t>
      </w:r>
      <w:r>
        <w:rPr>
          <w:rFonts w:ascii="Times New Roman" w:eastAsia="宋体" w:hAnsi="Times New Roman" w:cs="Times New Roman" w:hint="eastAsia"/>
          <w:color w:val="000000"/>
          <w:sz w:val="24"/>
          <w:szCs w:val="24"/>
          <w14:ligatures w14:val="none"/>
        </w:rPr>
        <w:t>位势高度异常与海表温度异常做奇异值分解，用以检验春季环流异常与两洋海温异常之间的耦合关系。</w:t>
      </w:r>
      <w:r>
        <w:rPr>
          <w:rFonts w:ascii="Times New Roman" w:eastAsia="宋体" w:hAnsi="Times New Roman" w:cs="Times New Roman" w:hint="eastAsia"/>
          <w:b/>
          <w:bCs/>
          <w:color w:val="000000"/>
          <w:sz w:val="24"/>
          <w:szCs w:val="24"/>
          <w14:ligatures w14:val="none"/>
        </w:rPr>
        <w:t>统计方法：</w:t>
      </w:r>
      <w:r>
        <w:rPr>
          <w:rFonts w:ascii="Times New Roman" w:eastAsia="宋体" w:hAnsi="Times New Roman" w:cs="Times New Roman" w:hint="eastAsia"/>
          <w:color w:val="000000"/>
          <w:sz w:val="24"/>
          <w:szCs w:val="24"/>
          <w14:ligatures w14:val="none"/>
        </w:rPr>
        <w:t>主要采用回归分析、相关分析和偏相关分析，显著性检验采用</w:t>
      </w:r>
      <w:r>
        <w:rPr>
          <w:rFonts w:ascii="Times New Roman" w:eastAsia="宋体" w:hAnsi="Times New Roman" w:cs="Times New Roman" w:hint="eastAsia"/>
          <w:color w:val="000000"/>
          <w:sz w:val="24"/>
          <w:szCs w:val="24"/>
          <w14:ligatures w14:val="none"/>
        </w:rPr>
        <w:t>t</w:t>
      </w:r>
      <w:r>
        <w:rPr>
          <w:rFonts w:ascii="Times New Roman" w:eastAsia="宋体" w:hAnsi="Times New Roman" w:cs="Times New Roman" w:hint="eastAsia"/>
          <w:color w:val="000000"/>
          <w:sz w:val="24"/>
          <w:szCs w:val="24"/>
          <w14:ligatures w14:val="none"/>
        </w:rPr>
        <w:t>检验，</w:t>
      </w:r>
      <w:r>
        <w:rPr>
          <w:rFonts w:ascii="Times New Roman" w:eastAsia="宋体" w:hAnsi="Times New Roman" w:cs="Times New Roman" w:hint="eastAsia"/>
          <w:color w:val="000000"/>
          <w:sz w:val="24"/>
          <w:szCs w:val="24"/>
          <w14:ligatures w14:val="none"/>
        </w:rPr>
        <w:t>EOF</w:t>
      </w:r>
      <w:r>
        <w:rPr>
          <w:rFonts w:ascii="Times New Roman" w:eastAsia="宋体" w:hAnsi="Times New Roman" w:cs="Times New Roman" w:hint="eastAsia"/>
          <w:color w:val="000000"/>
          <w:sz w:val="24"/>
          <w:szCs w:val="24"/>
          <w14:ligatures w14:val="none"/>
        </w:rPr>
        <w:t>模态的分离性按照</w:t>
      </w:r>
      <w:r w:rsidR="005A39AC">
        <w:rPr>
          <w:rFonts w:ascii="Times New Roman" w:eastAsia="宋体" w:hAnsi="Times New Roman" w:cs="Times New Roman" w:hint="eastAsia"/>
          <w:color w:val="000000"/>
          <w:sz w:val="24"/>
          <w:szCs w:val="24"/>
          <w14:ligatures w14:val="none"/>
        </w:rPr>
        <w:t>先前研究</w:t>
      </w:r>
      <w:r>
        <w:rPr>
          <w:rFonts w:ascii="Times New Roman" w:eastAsia="宋体" w:hAnsi="Times New Roman" w:cs="Times New Roman" w:hint="eastAsia"/>
          <w:color w:val="000000"/>
          <w:sz w:val="24"/>
          <w:szCs w:val="24"/>
          <w14:ligatures w14:val="none"/>
        </w:rPr>
        <w:t>提出的准则判断。</w:t>
      </w:r>
    </w:p>
    <w:p w14:paraId="4C70EC98" w14:textId="625622D4" w:rsidR="00042B20" w:rsidRPr="001E584A" w:rsidRDefault="00042B20" w:rsidP="000F1FBB">
      <w:pPr>
        <w:spacing w:line="360" w:lineRule="auto"/>
        <w:jc w:val="center"/>
        <w:rPr>
          <w:rFonts w:ascii="Times New Roman" w:eastAsia="宋体" w:hAnsi="Times New Roman" w:cs="Times New Roman"/>
          <w:color w:val="000000"/>
          <w:sz w:val="24"/>
          <w:szCs w:val="24"/>
          <w14:ligatures w14:val="none"/>
        </w:rPr>
      </w:pPr>
    </w:p>
    <w:p w14:paraId="6BE74C3F" w14:textId="77777777" w:rsidR="00CD25A5" w:rsidRDefault="00CD25A5" w:rsidP="004564B9">
      <w:pPr>
        <w:spacing w:line="360" w:lineRule="auto"/>
        <w:rPr>
          <w:rFonts w:ascii="Times New Roman" w:eastAsia="宋体" w:hAnsi="Times New Roman" w:cs="Times New Roman"/>
          <w:color w:val="000000"/>
          <w:sz w:val="24"/>
          <w:szCs w:val="24"/>
          <w14:ligatures w14:val="none"/>
        </w:rPr>
      </w:pPr>
    </w:p>
    <w:p w14:paraId="3729A713" w14:textId="59811A2B" w:rsidR="00402CCC" w:rsidRPr="000A4D31" w:rsidRDefault="00402CCC" w:rsidP="00192357">
      <w:pPr>
        <w:spacing w:line="360" w:lineRule="auto"/>
        <w:rPr>
          <w:rFonts w:ascii="Times New Roman" w:eastAsia="宋体" w:hAnsi="Times New Roman" w:cs="Times New Roman"/>
          <w:color w:val="000000"/>
          <w:sz w:val="28"/>
          <w:szCs w:val="28"/>
          <w14:ligatures w14:val="none"/>
        </w:rPr>
      </w:pPr>
      <w:r w:rsidRPr="000A4D31">
        <w:rPr>
          <w:rFonts w:ascii="Times New Roman" w:eastAsia="宋体" w:hAnsi="Times New Roman" w:cs="Times New Roman" w:hint="eastAsia"/>
          <w:color w:val="000000"/>
          <w:sz w:val="28"/>
          <w:szCs w:val="28"/>
          <w14:ligatures w14:val="none"/>
        </w:rPr>
        <w:t>研究结果：</w:t>
      </w:r>
    </w:p>
    <w:p w14:paraId="61B8F8C2" w14:textId="47648D78" w:rsidR="00E9669F" w:rsidRDefault="00035960" w:rsidP="000F37D4">
      <w:pPr>
        <w:pStyle w:val="a9"/>
        <w:numPr>
          <w:ilvl w:val="0"/>
          <w:numId w:val="1"/>
        </w:numPr>
        <w:spacing w:line="360" w:lineRule="auto"/>
        <w:rPr>
          <w:rFonts w:ascii="Times New Roman" w:eastAsia="宋体" w:hAnsi="Times New Roman" w:cs="Times New Roman"/>
          <w:color w:val="000000"/>
          <w:sz w:val="24"/>
          <w:szCs w:val="24"/>
          <w14:ligatures w14:val="none"/>
        </w:rPr>
      </w:pPr>
      <w:r>
        <w:rPr>
          <w:rFonts w:ascii="Times New Roman" w:eastAsia="宋体" w:hAnsi="Times New Roman" w:cs="Times New Roman"/>
          <w:color w:val="000000"/>
          <w:sz w:val="24"/>
          <w:szCs w:val="24"/>
          <w14:ligatures w14:val="none"/>
        </w:rPr>
        <w:t>首先对北半球陆地夏季地表气温异常进行了</w:t>
      </w:r>
      <w:r>
        <w:rPr>
          <w:rFonts w:ascii="Times New Roman" w:eastAsia="宋体" w:hAnsi="Times New Roman" w:cs="Times New Roman"/>
          <w:color w:val="000000"/>
          <w:sz w:val="24"/>
          <w:szCs w:val="24"/>
          <w14:ligatures w14:val="none"/>
        </w:rPr>
        <w:t>EOF</w:t>
      </w:r>
      <w:r>
        <w:rPr>
          <w:rFonts w:ascii="Times New Roman" w:eastAsia="宋体" w:hAnsi="Times New Roman" w:cs="Times New Roman"/>
          <w:color w:val="000000"/>
          <w:sz w:val="24"/>
          <w:szCs w:val="24"/>
          <w14:ligatures w14:val="none"/>
        </w:rPr>
        <w:t>分析。第一模态解释</w:t>
      </w:r>
      <w:r>
        <w:rPr>
          <w:rFonts w:ascii="Times New Roman" w:eastAsia="宋体" w:hAnsi="Times New Roman" w:cs="Times New Roman"/>
          <w:color w:val="000000"/>
          <w:sz w:val="24"/>
          <w:szCs w:val="24"/>
          <w14:ligatures w14:val="none"/>
        </w:rPr>
        <w:t>19.5%</w:t>
      </w:r>
      <w:r>
        <w:rPr>
          <w:rFonts w:ascii="Times New Roman" w:eastAsia="宋体" w:hAnsi="Times New Roman" w:cs="Times New Roman"/>
          <w:color w:val="000000"/>
          <w:sz w:val="24"/>
          <w:szCs w:val="24"/>
          <w14:ligatures w14:val="none"/>
        </w:rPr>
        <w:t>的总方差，显著的正异常同时出现在欧亚平原区和北美中东部，两个区域的气温呈同位相变化，对应的主成分主要表现为年际变化，没有明显的年代际变化和长期趋势。这两个区域也是北半球陆地夏季气温年际变率最大的区域，第一模态解释了其中大部分方差。区域平均的</w:t>
      </w:r>
      <w:r>
        <w:rPr>
          <w:rFonts w:ascii="Times New Roman" w:eastAsia="宋体" w:hAnsi="Times New Roman" w:cs="Times New Roman"/>
          <w:color w:val="000000"/>
          <w:sz w:val="24"/>
          <w:szCs w:val="24"/>
          <w14:ligatures w14:val="none"/>
        </w:rPr>
        <w:t>EPI</w:t>
      </w:r>
      <w:r>
        <w:rPr>
          <w:rFonts w:ascii="Times New Roman" w:eastAsia="宋体" w:hAnsi="Times New Roman" w:cs="Times New Roman"/>
          <w:color w:val="000000"/>
          <w:sz w:val="24"/>
          <w:szCs w:val="24"/>
          <w14:ligatures w14:val="none"/>
        </w:rPr>
        <w:t>与</w:t>
      </w:r>
      <w:r>
        <w:rPr>
          <w:rFonts w:ascii="Times New Roman" w:eastAsia="宋体" w:hAnsi="Times New Roman" w:cs="Times New Roman"/>
          <w:color w:val="000000"/>
          <w:sz w:val="24"/>
          <w:szCs w:val="24"/>
          <w14:ligatures w14:val="none"/>
        </w:rPr>
        <w:t>NAI</w:t>
      </w:r>
      <w:r>
        <w:rPr>
          <w:rFonts w:ascii="Times New Roman" w:eastAsia="宋体" w:hAnsi="Times New Roman" w:cs="Times New Roman"/>
          <w:color w:val="000000"/>
          <w:sz w:val="24"/>
          <w:szCs w:val="24"/>
          <w14:ligatures w14:val="none"/>
        </w:rPr>
        <w:t>的相关系数为</w:t>
      </w:r>
      <w:r>
        <w:rPr>
          <w:rFonts w:ascii="Times New Roman" w:eastAsia="宋体" w:hAnsi="Times New Roman" w:cs="Times New Roman"/>
          <w:color w:val="000000"/>
          <w:sz w:val="24"/>
          <w:szCs w:val="24"/>
          <w14:ligatures w14:val="none"/>
        </w:rPr>
        <w:t>0.66</w:t>
      </w:r>
      <w:r>
        <w:rPr>
          <w:rFonts w:ascii="Times New Roman" w:eastAsia="宋体" w:hAnsi="Times New Roman" w:cs="Times New Roman"/>
          <w:color w:val="000000"/>
          <w:sz w:val="24"/>
          <w:szCs w:val="24"/>
          <w14:ligatures w14:val="none"/>
        </w:rPr>
        <w:t>，通过</w:t>
      </w:r>
      <w:r>
        <w:rPr>
          <w:rFonts w:ascii="Times New Roman" w:eastAsia="宋体" w:hAnsi="Times New Roman" w:cs="Times New Roman"/>
          <w:color w:val="000000"/>
          <w:sz w:val="24"/>
          <w:szCs w:val="24"/>
          <w14:ligatures w14:val="none"/>
        </w:rPr>
        <w:t>99%</w:t>
      </w:r>
      <w:r>
        <w:rPr>
          <w:rFonts w:ascii="Times New Roman" w:eastAsia="宋体" w:hAnsi="Times New Roman" w:cs="Times New Roman"/>
          <w:color w:val="000000"/>
          <w:sz w:val="24"/>
          <w:szCs w:val="24"/>
          <w14:ligatures w14:val="none"/>
        </w:rPr>
        <w:t>置信水平检验，</w:t>
      </w:r>
      <w:r>
        <w:rPr>
          <w:rFonts w:ascii="Times New Roman" w:eastAsia="宋体" w:hAnsi="Times New Roman" w:cs="Times New Roman"/>
          <w:color w:val="000000"/>
          <w:sz w:val="24"/>
          <w:szCs w:val="24"/>
          <w14:ligatures w14:val="none"/>
        </w:rPr>
        <w:t>EP-NAI</w:t>
      </w:r>
      <w:r>
        <w:rPr>
          <w:rFonts w:ascii="Times New Roman" w:eastAsia="宋体" w:hAnsi="Times New Roman" w:cs="Times New Roman"/>
          <w:color w:val="000000"/>
          <w:sz w:val="24"/>
          <w:szCs w:val="24"/>
          <w14:ligatures w14:val="none"/>
        </w:rPr>
        <w:t>与第一模态主成分的相关系数高达</w:t>
      </w:r>
      <w:r>
        <w:rPr>
          <w:rFonts w:ascii="Times New Roman" w:eastAsia="宋体" w:hAnsi="Times New Roman" w:cs="Times New Roman"/>
          <w:color w:val="000000"/>
          <w:sz w:val="24"/>
          <w:szCs w:val="24"/>
          <w14:ligatures w14:val="none"/>
        </w:rPr>
        <w:t>0.98</w:t>
      </w:r>
      <w:r>
        <w:rPr>
          <w:rFonts w:ascii="Times New Roman" w:eastAsia="宋体" w:hAnsi="Times New Roman" w:cs="Times New Roman"/>
          <w:color w:val="000000"/>
          <w:sz w:val="24"/>
          <w:szCs w:val="24"/>
          <w14:ligatures w14:val="none"/>
        </w:rPr>
        <w:t>，说明两个大陆夏季气温之间的密切联系等价于北半球夏季气温变化的第一模态。这种联系为夏季特有，其他季节两个区域气温的相关都很弱，相关系数最大仅为</w:t>
      </w:r>
      <w:r>
        <w:rPr>
          <w:rFonts w:ascii="Times New Roman" w:eastAsia="宋体" w:hAnsi="Times New Roman" w:cs="Times New Roman"/>
          <w:color w:val="000000"/>
          <w:sz w:val="24"/>
          <w:szCs w:val="24"/>
          <w14:ligatures w14:val="none"/>
        </w:rPr>
        <w:t>0.23</w:t>
      </w:r>
      <w:r>
        <w:rPr>
          <w:rFonts w:ascii="Times New Roman" w:eastAsia="宋体" w:hAnsi="Times New Roman" w:cs="Times New Roman"/>
          <w:color w:val="000000"/>
          <w:sz w:val="24"/>
          <w:szCs w:val="24"/>
          <w14:ligatures w14:val="none"/>
        </w:rPr>
        <w:t>。</w:t>
      </w:r>
    </w:p>
    <w:p w14:paraId="69734A98" w14:textId="210CCA34" w:rsidR="009F62A8" w:rsidRDefault="00035960" w:rsidP="00F14BEE">
      <w:pPr>
        <w:pStyle w:val="a9"/>
        <w:numPr>
          <w:ilvl w:val="0"/>
          <w:numId w:val="1"/>
        </w:numPr>
        <w:spacing w:line="360" w:lineRule="auto"/>
        <w:rPr>
          <w:rFonts w:ascii="Times New Roman" w:eastAsia="宋体" w:hAnsi="Times New Roman" w:cs="Times New Roman"/>
          <w:color w:val="000000"/>
          <w:sz w:val="24"/>
          <w:szCs w:val="24"/>
          <w14:ligatures w14:val="none"/>
        </w:rPr>
      </w:pPr>
      <w:r>
        <w:rPr>
          <w:rFonts w:ascii="Times New Roman" w:eastAsia="宋体" w:hAnsi="Times New Roman" w:cs="Times New Roman"/>
          <w:color w:val="000000"/>
          <w:sz w:val="24"/>
          <w:szCs w:val="24"/>
          <w14:ligatures w14:val="none"/>
        </w:rPr>
        <w:t>进一步地，分析了与</w:t>
      </w:r>
      <w:r>
        <w:rPr>
          <w:rFonts w:ascii="Times New Roman" w:eastAsia="宋体" w:hAnsi="Times New Roman" w:cs="Times New Roman"/>
          <w:color w:val="000000"/>
          <w:sz w:val="24"/>
          <w:szCs w:val="24"/>
          <w14:ligatures w14:val="none"/>
        </w:rPr>
        <w:t>EP-NAI</w:t>
      </w:r>
      <w:r>
        <w:rPr>
          <w:rFonts w:ascii="Times New Roman" w:eastAsia="宋体" w:hAnsi="Times New Roman" w:cs="Times New Roman"/>
          <w:color w:val="000000"/>
          <w:sz w:val="24"/>
          <w:szCs w:val="24"/>
          <w14:ligatures w14:val="none"/>
        </w:rPr>
        <w:t>相联系的环流异常。对应正的</w:t>
      </w:r>
      <w:r>
        <w:rPr>
          <w:rFonts w:ascii="Times New Roman" w:eastAsia="宋体" w:hAnsi="Times New Roman" w:cs="Times New Roman"/>
          <w:color w:val="000000"/>
          <w:sz w:val="24"/>
          <w:szCs w:val="24"/>
          <w14:ligatures w14:val="none"/>
        </w:rPr>
        <w:t>EP-NAI</w:t>
      </w:r>
      <w:r>
        <w:rPr>
          <w:rFonts w:ascii="Times New Roman" w:eastAsia="宋体" w:hAnsi="Times New Roman" w:cs="Times New Roman"/>
          <w:color w:val="000000"/>
          <w:sz w:val="24"/>
          <w:szCs w:val="24"/>
          <w14:ligatures w14:val="none"/>
        </w:rPr>
        <w:t>，夏季</w:t>
      </w:r>
      <w:r>
        <w:rPr>
          <w:rFonts w:ascii="Times New Roman" w:eastAsia="宋体" w:hAnsi="Times New Roman" w:cs="Times New Roman"/>
          <w:color w:val="000000"/>
          <w:sz w:val="24"/>
          <w:szCs w:val="24"/>
          <w14:ligatures w14:val="none"/>
        </w:rPr>
        <w:lastRenderedPageBreak/>
        <w:t>200hPa</w:t>
      </w:r>
      <w:r>
        <w:rPr>
          <w:rFonts w:ascii="Times New Roman" w:eastAsia="宋体" w:hAnsi="Times New Roman" w:cs="Times New Roman"/>
          <w:color w:val="000000"/>
          <w:sz w:val="24"/>
          <w:szCs w:val="24"/>
          <w14:ligatures w14:val="none"/>
        </w:rPr>
        <w:t>位势高度异常在中高纬度呈现绕半球分布的波列，纬向波数约为</w:t>
      </w:r>
      <w:r>
        <w:rPr>
          <w:rFonts w:ascii="Times New Roman" w:eastAsia="宋体" w:hAnsi="Times New Roman" w:cs="Times New Roman"/>
          <w:color w:val="000000"/>
          <w:sz w:val="24"/>
          <w:szCs w:val="24"/>
          <w14:ligatures w14:val="none"/>
        </w:rPr>
        <w:t>4</w:t>
      </w:r>
      <w:r>
        <w:rPr>
          <w:rFonts w:ascii="Times New Roman" w:eastAsia="宋体" w:hAnsi="Times New Roman" w:cs="Times New Roman"/>
          <w:color w:val="000000"/>
          <w:sz w:val="24"/>
          <w:szCs w:val="24"/>
          <w14:ligatures w14:val="none"/>
        </w:rPr>
        <w:t>，正异常中心位于欧亚平原区、北太平洋堪察加半岛附近、北美和冰岛以南的北大西洋北部，欧亚平原区和北美上空的异常反气旋分别对应两个区域的高温异常，该波列在</w:t>
      </w:r>
      <w:r>
        <w:rPr>
          <w:rFonts w:ascii="Times New Roman" w:eastAsia="宋体" w:hAnsi="Times New Roman" w:cs="Times New Roman"/>
          <w:color w:val="000000"/>
          <w:sz w:val="24"/>
          <w:szCs w:val="24"/>
          <w14:ligatures w14:val="none"/>
        </w:rPr>
        <w:t>500hPa</w:t>
      </w:r>
      <w:r>
        <w:rPr>
          <w:rFonts w:ascii="Times New Roman" w:eastAsia="宋体" w:hAnsi="Times New Roman" w:cs="Times New Roman"/>
          <w:color w:val="000000"/>
          <w:sz w:val="24"/>
          <w:szCs w:val="24"/>
          <w14:ligatures w14:val="none"/>
        </w:rPr>
        <w:t>和</w:t>
      </w:r>
      <w:r>
        <w:rPr>
          <w:rFonts w:ascii="Times New Roman" w:eastAsia="宋体" w:hAnsi="Times New Roman" w:cs="Times New Roman"/>
          <w:color w:val="000000"/>
          <w:sz w:val="24"/>
          <w:szCs w:val="24"/>
          <w14:ligatures w14:val="none"/>
        </w:rPr>
        <w:t>850hPa</w:t>
      </w:r>
      <w:r>
        <w:rPr>
          <w:rFonts w:ascii="Times New Roman" w:eastAsia="宋体" w:hAnsi="Times New Roman" w:cs="Times New Roman"/>
          <w:color w:val="000000"/>
          <w:sz w:val="24"/>
          <w:szCs w:val="24"/>
          <w14:ligatures w14:val="none"/>
        </w:rPr>
        <w:t>同样存在，具有正压的垂直结构。对中高纬度</w:t>
      </w:r>
      <w:r>
        <w:rPr>
          <w:rFonts w:ascii="Times New Roman" w:eastAsia="宋体" w:hAnsi="Times New Roman" w:cs="Times New Roman"/>
          <w:color w:val="000000"/>
          <w:sz w:val="24"/>
          <w:szCs w:val="24"/>
          <w14:ligatures w14:val="none"/>
        </w:rPr>
        <w:t>200hPa</w:t>
      </w:r>
      <w:r>
        <w:rPr>
          <w:rFonts w:ascii="Times New Roman" w:eastAsia="宋体" w:hAnsi="Times New Roman" w:cs="Times New Roman"/>
          <w:color w:val="000000"/>
          <w:sz w:val="24"/>
          <w:szCs w:val="24"/>
          <w14:ligatures w14:val="none"/>
        </w:rPr>
        <w:t>位势高度异常做</w:t>
      </w:r>
      <w:r>
        <w:rPr>
          <w:rFonts w:ascii="Times New Roman" w:eastAsia="宋体" w:hAnsi="Times New Roman" w:cs="Times New Roman"/>
          <w:color w:val="000000"/>
          <w:sz w:val="24"/>
          <w:szCs w:val="24"/>
          <w14:ligatures w14:val="none"/>
        </w:rPr>
        <w:t>EOF</w:t>
      </w:r>
      <w:r>
        <w:rPr>
          <w:rFonts w:ascii="Times New Roman" w:eastAsia="宋体" w:hAnsi="Times New Roman" w:cs="Times New Roman"/>
          <w:color w:val="000000"/>
          <w:sz w:val="24"/>
          <w:szCs w:val="24"/>
          <w14:ligatures w14:val="none"/>
        </w:rPr>
        <w:t>分析，第一模态解释</w:t>
      </w:r>
      <w:r>
        <w:rPr>
          <w:rFonts w:ascii="Times New Roman" w:eastAsia="宋体" w:hAnsi="Times New Roman" w:cs="Times New Roman"/>
          <w:color w:val="000000"/>
          <w:sz w:val="24"/>
          <w:szCs w:val="24"/>
          <w14:ligatures w14:val="none"/>
        </w:rPr>
        <w:t>23.3%</w:t>
      </w:r>
      <w:r>
        <w:rPr>
          <w:rFonts w:ascii="Times New Roman" w:eastAsia="宋体" w:hAnsi="Times New Roman" w:cs="Times New Roman"/>
          <w:color w:val="000000"/>
          <w:sz w:val="24"/>
          <w:szCs w:val="24"/>
          <w14:ligatures w14:val="none"/>
        </w:rPr>
        <w:t>的方差，空间分布与</w:t>
      </w:r>
      <w:r>
        <w:rPr>
          <w:rFonts w:ascii="Times New Roman" w:eastAsia="宋体" w:hAnsi="Times New Roman" w:cs="Times New Roman"/>
          <w:color w:val="000000"/>
          <w:sz w:val="24"/>
          <w:szCs w:val="24"/>
          <w14:ligatures w14:val="none"/>
        </w:rPr>
        <w:t>EP-NAI</w:t>
      </w:r>
      <w:r>
        <w:rPr>
          <w:rFonts w:ascii="Times New Roman" w:eastAsia="宋体" w:hAnsi="Times New Roman" w:cs="Times New Roman"/>
          <w:color w:val="000000"/>
          <w:sz w:val="24"/>
          <w:szCs w:val="24"/>
          <w14:ligatures w14:val="none"/>
        </w:rPr>
        <w:t>对应的波列高度相似，两者的空间相关系数为</w:t>
      </w:r>
      <w:r>
        <w:rPr>
          <w:rFonts w:ascii="Times New Roman" w:eastAsia="宋体" w:hAnsi="Times New Roman" w:cs="Times New Roman"/>
          <w:color w:val="000000"/>
          <w:sz w:val="24"/>
          <w:szCs w:val="24"/>
          <w14:ligatures w14:val="none"/>
        </w:rPr>
        <w:t>0.92</w:t>
      </w:r>
      <w:r>
        <w:rPr>
          <w:rFonts w:ascii="Times New Roman" w:eastAsia="宋体" w:hAnsi="Times New Roman" w:cs="Times New Roman"/>
          <w:color w:val="000000"/>
          <w:sz w:val="24"/>
          <w:szCs w:val="24"/>
          <w14:ligatures w14:val="none"/>
        </w:rPr>
        <w:t>，其主成分与</w:t>
      </w:r>
      <w:r>
        <w:rPr>
          <w:rFonts w:ascii="Times New Roman" w:eastAsia="宋体" w:hAnsi="Times New Roman" w:cs="Times New Roman"/>
          <w:color w:val="000000"/>
          <w:sz w:val="24"/>
          <w:szCs w:val="24"/>
          <w14:ligatures w14:val="none"/>
        </w:rPr>
        <w:t>EP-NAI</w:t>
      </w:r>
      <w:r>
        <w:rPr>
          <w:rFonts w:ascii="Times New Roman" w:eastAsia="宋体" w:hAnsi="Times New Roman" w:cs="Times New Roman"/>
          <w:color w:val="000000"/>
          <w:sz w:val="24"/>
          <w:szCs w:val="24"/>
          <w14:ligatures w14:val="none"/>
        </w:rPr>
        <w:t>的相关系数为</w:t>
      </w:r>
      <w:r>
        <w:rPr>
          <w:rFonts w:ascii="Times New Roman" w:eastAsia="宋体" w:hAnsi="Times New Roman" w:cs="Times New Roman"/>
          <w:color w:val="000000"/>
          <w:sz w:val="24"/>
          <w:szCs w:val="24"/>
          <w14:ligatures w14:val="none"/>
        </w:rPr>
        <w:t>0.84</w:t>
      </w:r>
      <w:r>
        <w:rPr>
          <w:rFonts w:ascii="Times New Roman" w:eastAsia="宋体" w:hAnsi="Times New Roman" w:cs="Times New Roman"/>
          <w:color w:val="000000"/>
          <w:sz w:val="24"/>
          <w:szCs w:val="24"/>
          <w14:ligatures w14:val="none"/>
        </w:rPr>
        <w:t>，表明两个大陆的气温联系是对流层上层环流主导模态在地表气温上的直接体现。</w:t>
      </w:r>
    </w:p>
    <w:p w14:paraId="07FC5E6D" w14:textId="4DA90B3A" w:rsidR="00416F56" w:rsidRDefault="00416F56" w:rsidP="00F14BEE">
      <w:pPr>
        <w:pStyle w:val="a9"/>
        <w:numPr>
          <w:ilvl w:val="0"/>
          <w:numId w:val="1"/>
        </w:numPr>
        <w:spacing w:line="360" w:lineRule="auto"/>
        <w:rPr>
          <w:rFonts w:ascii="Times New Roman" w:eastAsia="宋体" w:hAnsi="Times New Roman" w:cs="Times New Roman"/>
          <w:color w:val="000000"/>
          <w:sz w:val="24"/>
          <w:szCs w:val="24"/>
          <w14:ligatures w14:val="none"/>
        </w:rPr>
      </w:pPr>
      <w:r>
        <w:rPr>
          <w:rFonts w:ascii="Times New Roman" w:eastAsia="宋体" w:hAnsi="Times New Roman" w:cs="Times New Roman"/>
          <w:color w:val="000000"/>
          <w:sz w:val="24"/>
          <w:szCs w:val="24"/>
          <w14:ligatures w14:val="none"/>
        </w:rPr>
        <w:t>进一步地，从前期的海洋状况出发探讨这一联系的可能成因。对应正的</w:t>
      </w:r>
      <w:r>
        <w:rPr>
          <w:rFonts w:ascii="Times New Roman" w:eastAsia="宋体" w:hAnsi="Times New Roman" w:cs="Times New Roman"/>
          <w:color w:val="000000"/>
          <w:sz w:val="24"/>
          <w:szCs w:val="24"/>
          <w14:ligatures w14:val="none"/>
        </w:rPr>
        <w:t>EP-NAI</w:t>
      </w:r>
      <w:r>
        <w:rPr>
          <w:rFonts w:ascii="Times New Roman" w:eastAsia="宋体" w:hAnsi="Times New Roman" w:cs="Times New Roman"/>
          <w:color w:val="000000"/>
          <w:sz w:val="24"/>
          <w:szCs w:val="24"/>
          <w14:ligatures w14:val="none"/>
        </w:rPr>
        <w:t>，前期春季热带和副热带北大西洋为海温正异常，东北太平洋为海温负异常，这些异常持续至夏季并有所增强，夏季热带中东太平洋还出现海温负异常，并在之后的秋冬季继续加强，表现为中部型拉尼娜的发展，而前期冬季热带太平洋的海温异常很弱，说明这一过程与前期冬季的</w:t>
      </w:r>
      <w:r>
        <w:rPr>
          <w:rFonts w:ascii="Times New Roman" w:eastAsia="宋体" w:hAnsi="Times New Roman" w:cs="Times New Roman"/>
          <w:color w:val="000000"/>
          <w:sz w:val="24"/>
          <w:szCs w:val="24"/>
          <w14:ligatures w14:val="none"/>
        </w:rPr>
        <w:t>ENSO</w:t>
      </w:r>
      <w:r>
        <w:rPr>
          <w:rFonts w:ascii="Times New Roman" w:eastAsia="宋体" w:hAnsi="Times New Roman" w:cs="Times New Roman"/>
          <w:color w:val="000000"/>
          <w:sz w:val="24"/>
          <w:szCs w:val="24"/>
          <w14:ligatures w14:val="none"/>
        </w:rPr>
        <w:t>关系不大。春季环流异常表现为</w:t>
      </w:r>
      <w:r>
        <w:rPr>
          <w:rFonts w:ascii="Times New Roman" w:eastAsia="宋体" w:hAnsi="Times New Roman" w:cs="Times New Roman"/>
          <w:color w:val="000000"/>
          <w:sz w:val="24"/>
          <w:szCs w:val="24"/>
          <w14:ligatures w14:val="none"/>
        </w:rPr>
        <w:t>NAO</w:t>
      </w:r>
      <w:r>
        <w:rPr>
          <w:rFonts w:ascii="Times New Roman" w:eastAsia="宋体" w:hAnsi="Times New Roman" w:cs="Times New Roman"/>
          <w:color w:val="000000"/>
          <w:sz w:val="24"/>
          <w:szCs w:val="24"/>
          <w14:ligatures w14:val="none"/>
        </w:rPr>
        <w:t>和</w:t>
      </w:r>
      <w:r>
        <w:rPr>
          <w:rFonts w:ascii="Times New Roman" w:eastAsia="宋体" w:hAnsi="Times New Roman" w:cs="Times New Roman"/>
          <w:color w:val="000000"/>
          <w:sz w:val="24"/>
          <w:szCs w:val="24"/>
          <w14:ligatures w14:val="none"/>
        </w:rPr>
        <w:t>PNA</w:t>
      </w:r>
      <w:r>
        <w:rPr>
          <w:rFonts w:ascii="Times New Roman" w:eastAsia="宋体" w:hAnsi="Times New Roman" w:cs="Times New Roman"/>
          <w:color w:val="000000"/>
          <w:sz w:val="24"/>
          <w:szCs w:val="24"/>
          <w14:ligatures w14:val="none"/>
        </w:rPr>
        <w:t>的配合，通过</w:t>
      </w:r>
      <w:r w:rsidR="00526C71">
        <w:rPr>
          <w:rFonts w:ascii="Times New Roman" w:eastAsia="宋体" w:hAnsi="Times New Roman" w:cs="Times New Roman" w:hint="eastAsia"/>
          <w:color w:val="000000"/>
          <w:sz w:val="24"/>
          <w:szCs w:val="24"/>
          <w14:ligatures w14:val="none"/>
        </w:rPr>
        <w:t>WES</w:t>
      </w:r>
      <w:r>
        <w:rPr>
          <w:rFonts w:ascii="Times New Roman" w:eastAsia="宋体" w:hAnsi="Times New Roman" w:cs="Times New Roman"/>
          <w:color w:val="000000"/>
          <w:sz w:val="24"/>
          <w:szCs w:val="24"/>
          <w14:ligatures w14:val="none"/>
        </w:rPr>
        <w:t>反馈维持两洋的海温异常。春季太平洋</w:t>
      </w:r>
      <w:r>
        <w:rPr>
          <w:rFonts w:ascii="Times New Roman" w:eastAsia="宋体" w:hAnsi="Times New Roman" w:cs="Times New Roman"/>
          <w:color w:val="000000"/>
          <w:sz w:val="24"/>
          <w:szCs w:val="24"/>
          <w14:ligatures w14:val="none"/>
        </w:rPr>
        <w:t>-</w:t>
      </w:r>
      <w:r>
        <w:rPr>
          <w:rFonts w:ascii="Times New Roman" w:eastAsia="宋体" w:hAnsi="Times New Roman" w:cs="Times New Roman"/>
          <w:color w:val="000000"/>
          <w:sz w:val="24"/>
          <w:szCs w:val="24"/>
          <w14:ligatures w14:val="none"/>
        </w:rPr>
        <w:t>大西洋</w:t>
      </w:r>
      <w:r>
        <w:rPr>
          <w:rFonts w:ascii="Times New Roman" w:eastAsia="宋体" w:hAnsi="Times New Roman" w:cs="Times New Roman"/>
          <w:color w:val="000000"/>
          <w:sz w:val="24"/>
          <w:szCs w:val="24"/>
          <w14:ligatures w14:val="none"/>
        </w:rPr>
        <w:t>200hPa</w:t>
      </w:r>
      <w:r>
        <w:rPr>
          <w:rFonts w:ascii="Times New Roman" w:eastAsia="宋体" w:hAnsi="Times New Roman" w:cs="Times New Roman"/>
          <w:color w:val="000000"/>
          <w:sz w:val="24"/>
          <w:szCs w:val="24"/>
          <w14:ligatures w14:val="none"/>
        </w:rPr>
        <w:t>位势高度的第一模态解释</w:t>
      </w:r>
      <w:r>
        <w:rPr>
          <w:rFonts w:ascii="Times New Roman" w:eastAsia="宋体" w:hAnsi="Times New Roman" w:cs="Times New Roman"/>
          <w:color w:val="000000"/>
          <w:sz w:val="24"/>
          <w:szCs w:val="24"/>
          <w14:ligatures w14:val="none"/>
        </w:rPr>
        <w:t>27.7%</w:t>
      </w:r>
      <w:r>
        <w:rPr>
          <w:rFonts w:ascii="Times New Roman" w:eastAsia="宋体" w:hAnsi="Times New Roman" w:cs="Times New Roman"/>
          <w:color w:val="000000"/>
          <w:sz w:val="24"/>
          <w:szCs w:val="24"/>
          <w14:ligatures w14:val="none"/>
        </w:rPr>
        <w:t>的方差，其主成分与</w:t>
      </w:r>
      <w:r>
        <w:rPr>
          <w:rFonts w:ascii="Times New Roman" w:eastAsia="宋体" w:hAnsi="Times New Roman" w:cs="Times New Roman"/>
          <w:color w:val="000000"/>
          <w:sz w:val="24"/>
          <w:szCs w:val="24"/>
          <w14:ligatures w14:val="none"/>
        </w:rPr>
        <w:t>NAO</w:t>
      </w:r>
      <w:r>
        <w:rPr>
          <w:rFonts w:ascii="Times New Roman" w:eastAsia="宋体" w:hAnsi="Times New Roman" w:cs="Times New Roman"/>
          <w:color w:val="000000"/>
          <w:sz w:val="24"/>
          <w:szCs w:val="24"/>
          <w14:ligatures w14:val="none"/>
        </w:rPr>
        <w:t>和</w:t>
      </w:r>
      <w:r>
        <w:rPr>
          <w:rFonts w:ascii="Times New Roman" w:eastAsia="宋体" w:hAnsi="Times New Roman" w:cs="Times New Roman"/>
          <w:color w:val="000000"/>
          <w:sz w:val="24"/>
          <w:szCs w:val="24"/>
          <w14:ligatures w14:val="none"/>
        </w:rPr>
        <w:t>PNA</w:t>
      </w:r>
      <w:r>
        <w:rPr>
          <w:rFonts w:ascii="Times New Roman" w:eastAsia="宋体" w:hAnsi="Times New Roman" w:cs="Times New Roman"/>
          <w:color w:val="000000"/>
          <w:sz w:val="24"/>
          <w:szCs w:val="24"/>
          <w14:ligatures w14:val="none"/>
        </w:rPr>
        <w:t>指数的相关系数分别为</w:t>
      </w:r>
      <w:r>
        <w:rPr>
          <w:rFonts w:ascii="Times New Roman" w:eastAsia="宋体" w:hAnsi="Times New Roman" w:cs="Times New Roman"/>
          <w:color w:val="000000"/>
          <w:sz w:val="24"/>
          <w:szCs w:val="24"/>
          <w14:ligatures w14:val="none"/>
        </w:rPr>
        <w:t>-0.78</w:t>
      </w:r>
      <w:r>
        <w:rPr>
          <w:rFonts w:ascii="Times New Roman" w:eastAsia="宋体" w:hAnsi="Times New Roman" w:cs="Times New Roman"/>
          <w:color w:val="000000"/>
          <w:sz w:val="24"/>
          <w:szCs w:val="24"/>
          <w14:ligatures w14:val="none"/>
        </w:rPr>
        <w:t>和</w:t>
      </w:r>
      <w:r>
        <w:rPr>
          <w:rFonts w:ascii="Times New Roman" w:eastAsia="宋体" w:hAnsi="Times New Roman" w:cs="Times New Roman"/>
          <w:color w:val="000000"/>
          <w:sz w:val="24"/>
          <w:szCs w:val="24"/>
          <w14:ligatures w14:val="none"/>
        </w:rPr>
        <w:t>0.62</w:t>
      </w:r>
      <w:r>
        <w:rPr>
          <w:rFonts w:ascii="Times New Roman" w:eastAsia="宋体" w:hAnsi="Times New Roman" w:cs="Times New Roman"/>
          <w:color w:val="000000"/>
          <w:sz w:val="24"/>
          <w:szCs w:val="24"/>
          <w14:ligatures w14:val="none"/>
        </w:rPr>
        <w:t>，与随后夏季</w:t>
      </w:r>
      <w:r>
        <w:rPr>
          <w:rFonts w:ascii="Times New Roman" w:eastAsia="宋体" w:hAnsi="Times New Roman" w:cs="Times New Roman"/>
          <w:color w:val="000000"/>
          <w:sz w:val="24"/>
          <w:szCs w:val="24"/>
          <w14:ligatures w14:val="none"/>
        </w:rPr>
        <w:t>EP-NAI</w:t>
      </w:r>
      <w:r>
        <w:rPr>
          <w:rFonts w:ascii="Times New Roman" w:eastAsia="宋体" w:hAnsi="Times New Roman" w:cs="Times New Roman"/>
          <w:color w:val="000000"/>
          <w:sz w:val="24"/>
          <w:szCs w:val="24"/>
          <w14:ligatures w14:val="none"/>
        </w:rPr>
        <w:t>的相关系数为</w:t>
      </w:r>
      <w:r>
        <w:rPr>
          <w:rFonts w:ascii="Times New Roman" w:eastAsia="宋体" w:hAnsi="Times New Roman" w:cs="Times New Roman"/>
          <w:color w:val="000000"/>
          <w:sz w:val="24"/>
          <w:szCs w:val="24"/>
          <w14:ligatures w14:val="none"/>
        </w:rPr>
        <w:t>0.42</w:t>
      </w:r>
      <w:r>
        <w:rPr>
          <w:rFonts w:ascii="Times New Roman" w:eastAsia="宋体" w:hAnsi="Times New Roman" w:cs="Times New Roman"/>
          <w:color w:val="000000"/>
          <w:sz w:val="24"/>
          <w:szCs w:val="24"/>
          <w14:ligatures w14:val="none"/>
        </w:rPr>
        <w:t>，通过</w:t>
      </w:r>
      <w:r>
        <w:rPr>
          <w:rFonts w:ascii="Times New Roman" w:eastAsia="宋体" w:hAnsi="Times New Roman" w:cs="Times New Roman"/>
          <w:color w:val="000000"/>
          <w:sz w:val="24"/>
          <w:szCs w:val="24"/>
          <w14:ligatures w14:val="none"/>
        </w:rPr>
        <w:t>99%</w:t>
      </w:r>
      <w:r>
        <w:rPr>
          <w:rFonts w:ascii="Times New Roman" w:eastAsia="宋体" w:hAnsi="Times New Roman" w:cs="Times New Roman"/>
          <w:color w:val="000000"/>
          <w:sz w:val="24"/>
          <w:szCs w:val="24"/>
          <w14:ligatures w14:val="none"/>
        </w:rPr>
        <w:t>置信水平检验，可以作为夏季两大陆气温联系的前兆信号。</w:t>
      </w:r>
    </w:p>
    <w:p w14:paraId="08870CA5" w14:textId="3C9A6E8B" w:rsidR="00E9205B" w:rsidRDefault="00E9205B" w:rsidP="00F14BEE">
      <w:pPr>
        <w:pStyle w:val="a9"/>
        <w:numPr>
          <w:ilvl w:val="0"/>
          <w:numId w:val="1"/>
        </w:numPr>
        <w:spacing w:line="360" w:lineRule="auto"/>
        <w:rPr>
          <w:rFonts w:ascii="Times New Roman" w:eastAsia="宋体" w:hAnsi="Times New Roman" w:cs="Times New Roman"/>
          <w:color w:val="000000"/>
          <w:sz w:val="24"/>
          <w:szCs w:val="24"/>
          <w14:ligatures w14:val="none"/>
        </w:rPr>
      </w:pPr>
      <w:r>
        <w:rPr>
          <w:rFonts w:ascii="Times New Roman" w:eastAsia="宋体" w:hAnsi="Times New Roman" w:cs="Times New Roman"/>
          <w:color w:val="000000"/>
          <w:sz w:val="24"/>
          <w:szCs w:val="24"/>
          <w14:ligatures w14:val="none"/>
        </w:rPr>
        <w:t>前述结果表明，两个大陆的气温联系可以由春季太平洋</w:t>
      </w:r>
      <w:r>
        <w:rPr>
          <w:rFonts w:ascii="Times New Roman" w:eastAsia="宋体" w:hAnsi="Times New Roman" w:cs="Times New Roman"/>
          <w:color w:val="000000"/>
          <w:sz w:val="24"/>
          <w:szCs w:val="24"/>
          <w14:ligatures w14:val="none"/>
        </w:rPr>
        <w:t>-</w:t>
      </w:r>
      <w:r>
        <w:rPr>
          <w:rFonts w:ascii="Times New Roman" w:eastAsia="宋体" w:hAnsi="Times New Roman" w:cs="Times New Roman"/>
          <w:color w:val="000000"/>
          <w:sz w:val="24"/>
          <w:szCs w:val="24"/>
          <w14:ligatures w14:val="none"/>
        </w:rPr>
        <w:t>大西洋的海气耦合及其延续来解释。</w:t>
      </w:r>
      <w:r>
        <w:rPr>
          <w:rFonts w:ascii="Times New Roman" w:eastAsia="宋体" w:hAnsi="Times New Roman" w:cs="Times New Roman"/>
          <w:color w:val="000000"/>
          <w:sz w:val="24"/>
          <w:szCs w:val="24"/>
          <w14:ligatures w14:val="none"/>
        </w:rPr>
        <w:t>SVD</w:t>
      </w:r>
      <w:r>
        <w:rPr>
          <w:rFonts w:ascii="Times New Roman" w:eastAsia="宋体" w:hAnsi="Times New Roman" w:cs="Times New Roman"/>
          <w:color w:val="000000"/>
          <w:sz w:val="24"/>
          <w:szCs w:val="24"/>
          <w14:ligatures w14:val="none"/>
        </w:rPr>
        <w:t>分析表明，春季</w:t>
      </w:r>
      <w:r>
        <w:rPr>
          <w:rFonts w:ascii="Times New Roman" w:eastAsia="宋体" w:hAnsi="Times New Roman" w:cs="Times New Roman"/>
          <w:color w:val="000000"/>
          <w:sz w:val="24"/>
          <w:szCs w:val="24"/>
          <w14:ligatures w14:val="none"/>
        </w:rPr>
        <w:t>200hPa</w:t>
      </w:r>
      <w:r>
        <w:rPr>
          <w:rFonts w:ascii="Times New Roman" w:eastAsia="宋体" w:hAnsi="Times New Roman" w:cs="Times New Roman"/>
          <w:color w:val="000000"/>
          <w:sz w:val="24"/>
          <w:szCs w:val="24"/>
          <w14:ligatures w14:val="none"/>
        </w:rPr>
        <w:t>位势高度与两洋海温的第一耦合模态解释</w:t>
      </w:r>
      <w:r>
        <w:rPr>
          <w:rFonts w:ascii="Times New Roman" w:eastAsia="宋体" w:hAnsi="Times New Roman" w:cs="Times New Roman"/>
          <w:color w:val="000000"/>
          <w:sz w:val="24"/>
          <w:szCs w:val="24"/>
          <w14:ligatures w14:val="none"/>
        </w:rPr>
        <w:t>56.5%</w:t>
      </w:r>
      <w:r>
        <w:rPr>
          <w:rFonts w:ascii="Times New Roman" w:eastAsia="宋体" w:hAnsi="Times New Roman" w:cs="Times New Roman"/>
          <w:color w:val="000000"/>
          <w:sz w:val="24"/>
          <w:szCs w:val="24"/>
          <w14:ligatures w14:val="none"/>
        </w:rPr>
        <w:t>的协方差平方，环流场的空间分布与春季主导模态的相关系数高达</w:t>
      </w:r>
      <w:r>
        <w:rPr>
          <w:rFonts w:ascii="Times New Roman" w:eastAsia="宋体" w:hAnsi="Times New Roman" w:cs="Times New Roman"/>
          <w:color w:val="000000"/>
          <w:sz w:val="24"/>
          <w:szCs w:val="24"/>
          <w14:ligatures w14:val="none"/>
        </w:rPr>
        <w:t>0.97</w:t>
      </w:r>
      <w:r>
        <w:rPr>
          <w:rFonts w:ascii="Times New Roman" w:eastAsia="宋体" w:hAnsi="Times New Roman" w:cs="Times New Roman"/>
          <w:color w:val="000000"/>
          <w:sz w:val="24"/>
          <w:szCs w:val="24"/>
          <w14:ligatures w14:val="none"/>
        </w:rPr>
        <w:t>，说明春季主导环流模态与两洋海温异常耦合为一体，并且这一耦合信号能够持续到夏季。夏季大西洋海温指数和太平洋海温指数与</w:t>
      </w:r>
      <w:r>
        <w:rPr>
          <w:rFonts w:ascii="Times New Roman" w:eastAsia="宋体" w:hAnsi="Times New Roman" w:cs="Times New Roman"/>
          <w:color w:val="000000"/>
          <w:sz w:val="24"/>
          <w:szCs w:val="24"/>
          <w14:ligatures w14:val="none"/>
        </w:rPr>
        <w:t>EPI</w:t>
      </w:r>
      <w:r>
        <w:rPr>
          <w:rFonts w:ascii="Times New Roman" w:eastAsia="宋体" w:hAnsi="Times New Roman" w:cs="Times New Roman"/>
          <w:color w:val="000000"/>
          <w:sz w:val="24"/>
          <w:szCs w:val="24"/>
          <w14:ligatures w14:val="none"/>
        </w:rPr>
        <w:t>和</w:t>
      </w:r>
      <w:r>
        <w:rPr>
          <w:rFonts w:ascii="Times New Roman" w:eastAsia="宋体" w:hAnsi="Times New Roman" w:cs="Times New Roman"/>
          <w:color w:val="000000"/>
          <w:sz w:val="24"/>
          <w:szCs w:val="24"/>
          <w14:ligatures w14:val="none"/>
        </w:rPr>
        <w:t>NAI</w:t>
      </w:r>
      <w:r>
        <w:rPr>
          <w:rFonts w:ascii="Times New Roman" w:eastAsia="宋体" w:hAnsi="Times New Roman" w:cs="Times New Roman"/>
          <w:color w:val="000000"/>
          <w:sz w:val="24"/>
          <w:szCs w:val="24"/>
          <w14:ligatures w14:val="none"/>
        </w:rPr>
        <w:t>的相关系数绝对值介于</w:t>
      </w:r>
      <w:r>
        <w:rPr>
          <w:rFonts w:ascii="Times New Roman" w:eastAsia="宋体" w:hAnsi="Times New Roman" w:cs="Times New Roman"/>
          <w:color w:val="000000"/>
          <w:sz w:val="24"/>
          <w:szCs w:val="24"/>
          <w14:ligatures w14:val="none"/>
        </w:rPr>
        <w:t>0.54</w:t>
      </w:r>
      <w:r>
        <w:rPr>
          <w:rFonts w:ascii="Times New Roman" w:eastAsia="宋体" w:hAnsi="Times New Roman" w:cs="Times New Roman"/>
          <w:color w:val="000000"/>
          <w:sz w:val="24"/>
          <w:szCs w:val="24"/>
          <w14:ligatures w14:val="none"/>
        </w:rPr>
        <w:t>至</w:t>
      </w:r>
      <w:r>
        <w:rPr>
          <w:rFonts w:ascii="Times New Roman" w:eastAsia="宋体" w:hAnsi="Times New Roman" w:cs="Times New Roman"/>
          <w:color w:val="000000"/>
          <w:sz w:val="24"/>
          <w:szCs w:val="24"/>
          <w14:ligatures w14:val="none"/>
        </w:rPr>
        <w:t>0.59</w:t>
      </w:r>
      <w:r>
        <w:rPr>
          <w:rFonts w:ascii="Times New Roman" w:eastAsia="宋体" w:hAnsi="Times New Roman" w:cs="Times New Roman"/>
          <w:color w:val="000000"/>
          <w:sz w:val="24"/>
          <w:szCs w:val="24"/>
          <w14:ligatures w14:val="none"/>
        </w:rPr>
        <w:t>之间，均通过</w:t>
      </w:r>
      <w:r>
        <w:rPr>
          <w:rFonts w:ascii="Times New Roman" w:eastAsia="宋体" w:hAnsi="Times New Roman" w:cs="Times New Roman"/>
          <w:color w:val="000000"/>
          <w:sz w:val="24"/>
          <w:szCs w:val="24"/>
          <w14:ligatures w14:val="none"/>
        </w:rPr>
        <w:t>99%</w:t>
      </w:r>
      <w:r>
        <w:rPr>
          <w:rFonts w:ascii="Times New Roman" w:eastAsia="宋体" w:hAnsi="Times New Roman" w:cs="Times New Roman"/>
          <w:color w:val="000000"/>
          <w:sz w:val="24"/>
          <w:szCs w:val="24"/>
          <w14:ligatures w14:val="none"/>
        </w:rPr>
        <w:t>置信水平检验，大西洋</w:t>
      </w:r>
      <w:r>
        <w:rPr>
          <w:rFonts w:ascii="Times New Roman" w:eastAsia="宋体" w:hAnsi="Times New Roman" w:cs="Times New Roman"/>
          <w:color w:val="000000"/>
          <w:sz w:val="24"/>
          <w:szCs w:val="24"/>
          <w14:ligatures w14:val="none"/>
        </w:rPr>
        <w:t>-</w:t>
      </w:r>
      <w:r>
        <w:rPr>
          <w:rFonts w:ascii="Times New Roman" w:eastAsia="宋体" w:hAnsi="Times New Roman" w:cs="Times New Roman"/>
          <w:color w:val="000000"/>
          <w:sz w:val="24"/>
          <w:szCs w:val="24"/>
          <w14:ligatures w14:val="none"/>
        </w:rPr>
        <w:t>太平洋海温指数与</w:t>
      </w:r>
      <w:r>
        <w:rPr>
          <w:rFonts w:ascii="Times New Roman" w:eastAsia="宋体" w:hAnsi="Times New Roman" w:cs="Times New Roman"/>
          <w:color w:val="000000"/>
          <w:sz w:val="24"/>
          <w:szCs w:val="24"/>
          <w14:ligatures w14:val="none"/>
        </w:rPr>
        <w:t>EP-NAI</w:t>
      </w:r>
      <w:r>
        <w:rPr>
          <w:rFonts w:ascii="Times New Roman" w:eastAsia="宋体" w:hAnsi="Times New Roman" w:cs="Times New Roman"/>
          <w:color w:val="000000"/>
          <w:sz w:val="24"/>
          <w:szCs w:val="24"/>
          <w14:ligatures w14:val="none"/>
        </w:rPr>
        <w:t>的相关系数为</w:t>
      </w:r>
      <w:r>
        <w:rPr>
          <w:rFonts w:ascii="Times New Roman" w:eastAsia="宋体" w:hAnsi="Times New Roman" w:cs="Times New Roman"/>
          <w:color w:val="000000"/>
          <w:sz w:val="24"/>
          <w:szCs w:val="24"/>
          <w14:ligatures w14:val="none"/>
        </w:rPr>
        <w:t>0.67</w:t>
      </w:r>
      <w:r>
        <w:rPr>
          <w:rFonts w:ascii="Times New Roman" w:eastAsia="宋体" w:hAnsi="Times New Roman" w:cs="Times New Roman"/>
          <w:color w:val="000000"/>
          <w:sz w:val="24"/>
          <w:szCs w:val="24"/>
          <w14:ligatures w14:val="none"/>
        </w:rPr>
        <w:t>，偏相关分析进一步表明大西洋和太平洋海温与</w:t>
      </w:r>
      <w:r>
        <w:rPr>
          <w:rFonts w:ascii="Times New Roman" w:eastAsia="宋体" w:hAnsi="Times New Roman" w:cs="Times New Roman"/>
          <w:color w:val="000000"/>
          <w:sz w:val="24"/>
          <w:szCs w:val="24"/>
          <w14:ligatures w14:val="none"/>
        </w:rPr>
        <w:t>EP-NAI</w:t>
      </w:r>
      <w:r>
        <w:rPr>
          <w:rFonts w:ascii="Times New Roman" w:eastAsia="宋体" w:hAnsi="Times New Roman" w:cs="Times New Roman"/>
          <w:color w:val="000000"/>
          <w:sz w:val="24"/>
          <w:szCs w:val="24"/>
          <w14:ligatures w14:val="none"/>
        </w:rPr>
        <w:t>的偏相关系数分别为</w:t>
      </w:r>
      <w:r>
        <w:rPr>
          <w:rFonts w:ascii="Times New Roman" w:eastAsia="宋体" w:hAnsi="Times New Roman" w:cs="Times New Roman"/>
          <w:color w:val="000000"/>
          <w:sz w:val="24"/>
          <w:szCs w:val="24"/>
          <w14:ligatures w14:val="none"/>
        </w:rPr>
        <w:t>0.41</w:t>
      </w:r>
      <w:r>
        <w:rPr>
          <w:rFonts w:ascii="Times New Roman" w:eastAsia="宋体" w:hAnsi="Times New Roman" w:cs="Times New Roman"/>
          <w:color w:val="000000"/>
          <w:sz w:val="24"/>
          <w:szCs w:val="24"/>
          <w14:ligatures w14:val="none"/>
        </w:rPr>
        <w:t>和</w:t>
      </w:r>
      <w:r>
        <w:rPr>
          <w:rFonts w:ascii="Times New Roman" w:eastAsia="宋体" w:hAnsi="Times New Roman" w:cs="Times New Roman"/>
          <w:color w:val="000000"/>
          <w:sz w:val="24"/>
          <w:szCs w:val="24"/>
          <w14:ligatures w14:val="none"/>
        </w:rPr>
        <w:t>-0.32</w:t>
      </w:r>
      <w:r>
        <w:rPr>
          <w:rFonts w:ascii="Times New Roman" w:eastAsia="宋体" w:hAnsi="Times New Roman" w:cs="Times New Roman"/>
          <w:color w:val="000000"/>
          <w:sz w:val="24"/>
          <w:szCs w:val="24"/>
          <w14:ligatures w14:val="none"/>
        </w:rPr>
        <w:t>，两大洋均有贡献且大西洋的作用更大。机制上，北大西洋海温异常在北大西洋和欧亚西北部激发向东传播的波列，热带中东太平洋冷海温在欧亚平原区和北美上空诱发位势高度正异常，东北太平洋海温异常也有利于北美偏暖，最终在</w:t>
      </w:r>
      <w:r>
        <w:rPr>
          <w:rFonts w:ascii="Times New Roman" w:eastAsia="宋体" w:hAnsi="Times New Roman" w:cs="Times New Roman"/>
          <w:color w:val="000000"/>
          <w:sz w:val="24"/>
          <w:szCs w:val="24"/>
          <w14:ligatures w14:val="none"/>
        </w:rPr>
        <w:lastRenderedPageBreak/>
        <w:t>两个区域上空形成异常反气旋，造成两区域夏季气温在年际尺度上的同位相变化。</w:t>
      </w:r>
    </w:p>
    <w:p w14:paraId="7E391E1E" w14:textId="77777777" w:rsidR="00F0779C" w:rsidRPr="00561E0E" w:rsidRDefault="00F0779C" w:rsidP="00F0779C">
      <w:pPr>
        <w:spacing w:line="360" w:lineRule="auto"/>
        <w:rPr>
          <w:rFonts w:ascii="Times New Roman" w:eastAsia="宋体" w:hAnsi="Times New Roman" w:cs="Times New Roman"/>
          <w:color w:val="000000"/>
          <w:sz w:val="24"/>
          <w:szCs w:val="24"/>
          <w14:ligatures w14:val="none"/>
        </w:rPr>
      </w:pPr>
    </w:p>
    <w:p w14:paraId="621A67FB" w14:textId="77777777" w:rsidR="00F0779C" w:rsidRPr="00F0779C" w:rsidRDefault="00F0779C" w:rsidP="00F0779C">
      <w:pPr>
        <w:spacing w:line="360" w:lineRule="auto"/>
        <w:rPr>
          <w:rFonts w:ascii="Times New Roman" w:eastAsia="宋体" w:hAnsi="Times New Roman" w:cs="Times New Roman"/>
          <w:color w:val="000000"/>
          <w:sz w:val="24"/>
          <w:szCs w:val="24"/>
          <w14:ligatures w14:val="none"/>
        </w:rPr>
      </w:pPr>
    </w:p>
    <w:p w14:paraId="6644432D" w14:textId="0B6612DB" w:rsidR="0050408A" w:rsidRDefault="0050408A" w:rsidP="0050408A">
      <w:pPr>
        <w:rPr>
          <w:rFonts w:ascii="Times New Roman" w:eastAsia="宋体" w:hAnsi="Times New Roman" w:cs="Times New Roman"/>
          <w:color w:val="000000"/>
          <w:sz w:val="32"/>
          <w:szCs w:val="32"/>
          <w14:ligatures w14:val="none"/>
        </w:rPr>
      </w:pPr>
      <w:r w:rsidRPr="0050408A">
        <w:rPr>
          <w:rFonts w:ascii="Times New Roman" w:eastAsia="宋体" w:hAnsi="Times New Roman" w:cs="Times New Roman" w:hint="eastAsia"/>
          <w:color w:val="000000"/>
          <w:sz w:val="32"/>
          <w:szCs w:val="32"/>
          <w14:ligatures w14:val="none"/>
        </w:rPr>
        <w:t>受到的启发</w:t>
      </w:r>
      <w:r>
        <w:rPr>
          <w:rFonts w:ascii="Times New Roman" w:eastAsia="宋体" w:hAnsi="Times New Roman" w:cs="Times New Roman" w:hint="eastAsia"/>
          <w:color w:val="000000"/>
          <w:sz w:val="32"/>
          <w:szCs w:val="32"/>
          <w14:ligatures w14:val="none"/>
        </w:rPr>
        <w:t>：</w:t>
      </w:r>
    </w:p>
    <w:p w14:paraId="4CFCDA97" w14:textId="2FB245AC" w:rsidR="00B236B2" w:rsidRDefault="006D4648" w:rsidP="0062591A">
      <w:pPr>
        <w:pStyle w:val="a9"/>
        <w:numPr>
          <w:ilvl w:val="0"/>
          <w:numId w:val="2"/>
        </w:numPr>
        <w:spacing w:line="360" w:lineRule="auto"/>
        <w:ind w:left="357" w:hanging="357"/>
        <w:rPr>
          <w:rFonts w:ascii="Times New Roman" w:eastAsia="宋体" w:hAnsi="Times New Roman" w:cs="Times New Roman"/>
          <w:color w:val="000000"/>
          <w:sz w:val="24"/>
          <w:szCs w:val="24"/>
          <w14:ligatures w14:val="none"/>
        </w:rPr>
      </w:pPr>
      <w:r>
        <w:rPr>
          <w:rFonts w:ascii="Times New Roman" w:eastAsia="宋体" w:hAnsi="Times New Roman" w:cs="Times New Roman"/>
          <w:color w:val="000000"/>
          <w:sz w:val="24"/>
          <w:szCs w:val="24"/>
          <w14:ligatures w14:val="none"/>
        </w:rPr>
        <w:t>本文发现的跨大陆气温联系对季节预测有重要意义，前期春季太平洋</w:t>
      </w:r>
      <w:r>
        <w:rPr>
          <w:rFonts w:ascii="Times New Roman" w:eastAsia="宋体" w:hAnsi="Times New Roman" w:cs="Times New Roman"/>
          <w:color w:val="000000"/>
          <w:sz w:val="24"/>
          <w:szCs w:val="24"/>
          <w14:ligatures w14:val="none"/>
        </w:rPr>
        <w:t>-</w:t>
      </w:r>
      <w:r>
        <w:rPr>
          <w:rFonts w:ascii="Times New Roman" w:eastAsia="宋体" w:hAnsi="Times New Roman" w:cs="Times New Roman"/>
          <w:color w:val="000000"/>
          <w:sz w:val="24"/>
          <w:szCs w:val="24"/>
          <w14:ligatures w14:val="none"/>
        </w:rPr>
        <w:t>大西洋的海气耦合状态可以视为夏季两个大陆气温变化的前兆信号，在后面开展北半球夏季气温和热浪的预测研究时，可以将前期春季两洋海温和主导环流模态作为预测因子综合考量。</w:t>
      </w:r>
    </w:p>
    <w:p w14:paraId="7B3FA8CD" w14:textId="7C6B6927" w:rsidR="000A4D31" w:rsidRPr="000A4D31" w:rsidRDefault="001D1143" w:rsidP="000A4D31">
      <w:pPr>
        <w:pStyle w:val="a9"/>
        <w:numPr>
          <w:ilvl w:val="0"/>
          <w:numId w:val="2"/>
        </w:numPr>
        <w:spacing w:line="360" w:lineRule="auto"/>
        <w:ind w:left="357" w:hanging="357"/>
        <w:rPr>
          <w:rFonts w:ascii="Times New Roman" w:eastAsia="宋体" w:hAnsi="Times New Roman" w:cs="Times New Roman"/>
          <w:color w:val="000000"/>
          <w:sz w:val="24"/>
          <w:szCs w:val="24"/>
          <w14:ligatures w14:val="none"/>
        </w:rPr>
      </w:pPr>
      <w:r>
        <w:rPr>
          <w:rFonts w:ascii="Times New Roman" w:eastAsia="宋体" w:hAnsi="Times New Roman" w:cs="Times New Roman"/>
          <w:color w:val="000000"/>
          <w:sz w:val="24"/>
          <w:szCs w:val="24"/>
          <w14:ligatures w14:val="none"/>
        </w:rPr>
        <w:t>在方法上，本文用两个区域标准化气温指数之和来表征跨大陆联系，比直接使用</w:t>
      </w:r>
      <w:r>
        <w:rPr>
          <w:rFonts w:ascii="Times New Roman" w:eastAsia="宋体" w:hAnsi="Times New Roman" w:cs="Times New Roman"/>
          <w:color w:val="000000"/>
          <w:sz w:val="24"/>
          <w:szCs w:val="24"/>
          <w14:ligatures w14:val="none"/>
        </w:rPr>
        <w:t>EOF</w:t>
      </w:r>
      <w:r>
        <w:rPr>
          <w:rFonts w:ascii="Times New Roman" w:eastAsia="宋体" w:hAnsi="Times New Roman" w:cs="Times New Roman"/>
          <w:color w:val="000000"/>
          <w:sz w:val="24"/>
          <w:szCs w:val="24"/>
          <w14:ligatures w14:val="none"/>
        </w:rPr>
        <w:t>主成分更加直观，同时以</w:t>
      </w:r>
      <w:r>
        <w:rPr>
          <w:rFonts w:ascii="Times New Roman" w:eastAsia="宋体" w:hAnsi="Times New Roman" w:cs="Times New Roman"/>
          <w:color w:val="000000"/>
          <w:sz w:val="24"/>
          <w:szCs w:val="24"/>
          <w14:ligatures w14:val="none"/>
        </w:rPr>
        <w:t>SVD</w:t>
      </w:r>
      <w:r>
        <w:rPr>
          <w:rFonts w:ascii="Times New Roman" w:eastAsia="宋体" w:hAnsi="Times New Roman" w:cs="Times New Roman"/>
          <w:color w:val="000000"/>
          <w:sz w:val="24"/>
          <w:szCs w:val="24"/>
          <w14:ligatures w14:val="none"/>
        </w:rPr>
        <w:t>分析验证环流与海温的耦合关系，先识别现象、再寻找环流解释、最后追溯海温前兆并验证海气耦合的分析链条清晰完整，值得在后续研究中借鉴。</w:t>
      </w:r>
    </w:p>
    <w:p w14:paraId="0392DB9F" w14:textId="450B1073" w:rsidR="001D1143" w:rsidRDefault="00E212A7" w:rsidP="0062591A">
      <w:pPr>
        <w:pStyle w:val="a9"/>
        <w:numPr>
          <w:ilvl w:val="0"/>
          <w:numId w:val="2"/>
        </w:numPr>
        <w:spacing w:line="360" w:lineRule="auto"/>
        <w:ind w:left="357" w:hanging="357"/>
        <w:rPr>
          <w:rFonts w:ascii="Times New Roman" w:eastAsia="宋体" w:hAnsi="Times New Roman" w:cs="Times New Roman"/>
          <w:color w:val="000000"/>
          <w:sz w:val="24"/>
          <w:szCs w:val="24"/>
          <w14:ligatures w14:val="none"/>
        </w:rPr>
      </w:pPr>
      <w:r>
        <w:rPr>
          <w:rFonts w:ascii="Times New Roman" w:eastAsia="宋体" w:hAnsi="Times New Roman" w:cs="Times New Roman"/>
          <w:color w:val="000000"/>
          <w:sz w:val="24"/>
          <w:szCs w:val="24"/>
          <w14:ligatures w14:val="none"/>
        </w:rPr>
        <w:t>这种联系仅在夏季显著，其他季节两个区域的气温关系很弱甚至反号，夏季内部</w:t>
      </w:r>
      <w:r>
        <w:rPr>
          <w:rFonts w:ascii="Times New Roman" w:eastAsia="宋体" w:hAnsi="Times New Roman" w:cs="Times New Roman"/>
          <w:color w:val="000000"/>
          <w:sz w:val="24"/>
          <w:szCs w:val="24"/>
          <w14:ligatures w14:val="none"/>
        </w:rPr>
        <w:t>8</w:t>
      </w:r>
      <w:r>
        <w:rPr>
          <w:rFonts w:ascii="Times New Roman" w:eastAsia="宋体" w:hAnsi="Times New Roman" w:cs="Times New Roman"/>
          <w:color w:val="000000"/>
          <w:sz w:val="24"/>
          <w:szCs w:val="24"/>
          <w14:ligatures w14:val="none"/>
        </w:rPr>
        <w:t>月的相关也明显弱于</w:t>
      </w:r>
      <w:r>
        <w:rPr>
          <w:rFonts w:ascii="Times New Roman" w:eastAsia="宋体" w:hAnsi="Times New Roman" w:cs="Times New Roman"/>
          <w:color w:val="000000"/>
          <w:sz w:val="24"/>
          <w:szCs w:val="24"/>
          <w14:ligatures w14:val="none"/>
        </w:rPr>
        <w:t>6</w:t>
      </w:r>
      <w:r>
        <w:rPr>
          <w:rFonts w:ascii="Times New Roman" w:eastAsia="宋体" w:hAnsi="Times New Roman" w:cs="Times New Roman"/>
          <w:color w:val="000000"/>
          <w:sz w:val="24"/>
          <w:szCs w:val="24"/>
          <w14:ligatures w14:val="none"/>
        </w:rPr>
        <w:t>月和</w:t>
      </w:r>
      <w:r>
        <w:rPr>
          <w:rFonts w:ascii="Times New Roman" w:eastAsia="宋体" w:hAnsi="Times New Roman" w:cs="Times New Roman"/>
          <w:color w:val="000000"/>
          <w:sz w:val="24"/>
          <w:szCs w:val="24"/>
          <w14:ligatures w14:val="none"/>
        </w:rPr>
        <w:t>7</w:t>
      </w:r>
      <w:r>
        <w:rPr>
          <w:rFonts w:ascii="Times New Roman" w:eastAsia="宋体" w:hAnsi="Times New Roman" w:cs="Times New Roman"/>
          <w:color w:val="000000"/>
          <w:sz w:val="24"/>
          <w:szCs w:val="24"/>
          <w14:ligatures w14:val="none"/>
        </w:rPr>
        <w:t>月，说明跨大陆联系存在很强的季节依赖性，背后可能还有季节内过程的作用。</w:t>
      </w:r>
    </w:p>
    <w:p w14:paraId="55A18E02" w14:textId="349826DD" w:rsidR="0030661C" w:rsidRPr="006D4FBB" w:rsidRDefault="0030661C" w:rsidP="0030661C">
      <w:pPr>
        <w:pStyle w:val="a9"/>
        <w:spacing w:line="360" w:lineRule="auto"/>
        <w:ind w:left="357"/>
        <w:jc w:val="center"/>
        <w:rPr>
          <w:rFonts w:ascii="Times New Roman" w:eastAsia="宋体" w:hAnsi="Times New Roman" w:cs="Times New Roman"/>
          <w:color w:val="000000"/>
          <w:sz w:val="24"/>
          <w:szCs w:val="24"/>
          <w14:ligatures w14:val="none"/>
        </w:rPr>
      </w:pPr>
    </w:p>
    <w:sectPr w:rsidR="0030661C" w:rsidRPr="006D4F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EEF0E" w14:textId="77777777" w:rsidR="00D32EE3" w:rsidRDefault="00D32EE3" w:rsidP="00DC4A73">
      <w:pPr>
        <w:rPr>
          <w:rFonts w:hint="eastAsia"/>
        </w:rPr>
      </w:pPr>
      <w:r>
        <w:separator/>
      </w:r>
    </w:p>
  </w:endnote>
  <w:endnote w:type="continuationSeparator" w:id="0">
    <w:p w14:paraId="560CB710" w14:textId="77777777" w:rsidR="00D32EE3" w:rsidRDefault="00D32EE3" w:rsidP="00DC4A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3DC9C" w14:textId="77777777" w:rsidR="00D32EE3" w:rsidRDefault="00D32EE3" w:rsidP="00DC4A73">
      <w:pPr>
        <w:rPr>
          <w:rFonts w:hint="eastAsia"/>
        </w:rPr>
      </w:pPr>
      <w:r>
        <w:separator/>
      </w:r>
    </w:p>
  </w:footnote>
  <w:footnote w:type="continuationSeparator" w:id="0">
    <w:p w14:paraId="1E6A48AD" w14:textId="77777777" w:rsidR="00D32EE3" w:rsidRDefault="00D32EE3" w:rsidP="00DC4A7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015BB"/>
    <w:multiLevelType w:val="hybridMultilevel"/>
    <w:tmpl w:val="3A123330"/>
    <w:lvl w:ilvl="0" w:tplc="E34A13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05E5B7B"/>
    <w:multiLevelType w:val="hybridMultilevel"/>
    <w:tmpl w:val="EDA43FAC"/>
    <w:lvl w:ilvl="0" w:tplc="0BA28C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41809523">
    <w:abstractNumId w:val="0"/>
  </w:num>
  <w:num w:numId="2" w16cid:durableId="250820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8A8"/>
    <w:rsid w:val="00000875"/>
    <w:rsid w:val="000045E7"/>
    <w:rsid w:val="00013491"/>
    <w:rsid w:val="0002014C"/>
    <w:rsid w:val="0003045C"/>
    <w:rsid w:val="0003236D"/>
    <w:rsid w:val="00035416"/>
    <w:rsid w:val="00035960"/>
    <w:rsid w:val="0004209C"/>
    <w:rsid w:val="00042B20"/>
    <w:rsid w:val="000458A8"/>
    <w:rsid w:val="00045F80"/>
    <w:rsid w:val="00072B72"/>
    <w:rsid w:val="00077B0E"/>
    <w:rsid w:val="00085DCB"/>
    <w:rsid w:val="00091019"/>
    <w:rsid w:val="00091821"/>
    <w:rsid w:val="000A4808"/>
    <w:rsid w:val="000A4D31"/>
    <w:rsid w:val="000B169A"/>
    <w:rsid w:val="000C1A53"/>
    <w:rsid w:val="000D58AC"/>
    <w:rsid w:val="000D5FE3"/>
    <w:rsid w:val="000E660E"/>
    <w:rsid w:val="000F1FBB"/>
    <w:rsid w:val="000F2BF8"/>
    <w:rsid w:val="000F37D4"/>
    <w:rsid w:val="00116803"/>
    <w:rsid w:val="001206E6"/>
    <w:rsid w:val="00121172"/>
    <w:rsid w:val="0014012A"/>
    <w:rsid w:val="001502AD"/>
    <w:rsid w:val="00153C72"/>
    <w:rsid w:val="00157E6D"/>
    <w:rsid w:val="00162E09"/>
    <w:rsid w:val="0017526A"/>
    <w:rsid w:val="00190BDB"/>
    <w:rsid w:val="00192357"/>
    <w:rsid w:val="001B7E8F"/>
    <w:rsid w:val="001C128A"/>
    <w:rsid w:val="001D0599"/>
    <w:rsid w:val="001D1143"/>
    <w:rsid w:val="001D5577"/>
    <w:rsid w:val="001E47F9"/>
    <w:rsid w:val="001E584A"/>
    <w:rsid w:val="001E7DF2"/>
    <w:rsid w:val="00205F63"/>
    <w:rsid w:val="00213C3E"/>
    <w:rsid w:val="00254143"/>
    <w:rsid w:val="00266953"/>
    <w:rsid w:val="00275C4F"/>
    <w:rsid w:val="00292DD2"/>
    <w:rsid w:val="002B7C4F"/>
    <w:rsid w:val="002C17CF"/>
    <w:rsid w:val="002C27D1"/>
    <w:rsid w:val="002D1826"/>
    <w:rsid w:val="002F4151"/>
    <w:rsid w:val="002F5952"/>
    <w:rsid w:val="00301351"/>
    <w:rsid w:val="003049CB"/>
    <w:rsid w:val="0030661C"/>
    <w:rsid w:val="00310CFB"/>
    <w:rsid w:val="00317B17"/>
    <w:rsid w:val="003248E3"/>
    <w:rsid w:val="00333F4E"/>
    <w:rsid w:val="003407BC"/>
    <w:rsid w:val="00346FA4"/>
    <w:rsid w:val="00352F07"/>
    <w:rsid w:val="00355BA1"/>
    <w:rsid w:val="0037012C"/>
    <w:rsid w:val="0037379A"/>
    <w:rsid w:val="00375A59"/>
    <w:rsid w:val="00377B09"/>
    <w:rsid w:val="00381D4E"/>
    <w:rsid w:val="00382071"/>
    <w:rsid w:val="00386B06"/>
    <w:rsid w:val="003908D9"/>
    <w:rsid w:val="0039090A"/>
    <w:rsid w:val="00396490"/>
    <w:rsid w:val="003B5F4F"/>
    <w:rsid w:val="003B7B23"/>
    <w:rsid w:val="003B7BCF"/>
    <w:rsid w:val="003D3D6F"/>
    <w:rsid w:val="003D696A"/>
    <w:rsid w:val="003E131F"/>
    <w:rsid w:val="003E5B87"/>
    <w:rsid w:val="003E718A"/>
    <w:rsid w:val="003F16EC"/>
    <w:rsid w:val="003F7DA9"/>
    <w:rsid w:val="00402CCC"/>
    <w:rsid w:val="004038B3"/>
    <w:rsid w:val="004051A6"/>
    <w:rsid w:val="0041685F"/>
    <w:rsid w:val="00416F56"/>
    <w:rsid w:val="00421177"/>
    <w:rsid w:val="00430347"/>
    <w:rsid w:val="00430EDE"/>
    <w:rsid w:val="004564B9"/>
    <w:rsid w:val="00485F43"/>
    <w:rsid w:val="00495FD1"/>
    <w:rsid w:val="004A42F0"/>
    <w:rsid w:val="004B0C03"/>
    <w:rsid w:val="004B2A14"/>
    <w:rsid w:val="004B5E39"/>
    <w:rsid w:val="004C28BE"/>
    <w:rsid w:val="004C5230"/>
    <w:rsid w:val="004D636D"/>
    <w:rsid w:val="004E731B"/>
    <w:rsid w:val="004F042D"/>
    <w:rsid w:val="00500FFC"/>
    <w:rsid w:val="00502536"/>
    <w:rsid w:val="0050408A"/>
    <w:rsid w:val="0052156B"/>
    <w:rsid w:val="00526C71"/>
    <w:rsid w:val="005302A6"/>
    <w:rsid w:val="005363D3"/>
    <w:rsid w:val="00542709"/>
    <w:rsid w:val="0054305D"/>
    <w:rsid w:val="00543407"/>
    <w:rsid w:val="00544CD2"/>
    <w:rsid w:val="005454F5"/>
    <w:rsid w:val="00546C6D"/>
    <w:rsid w:val="00550DE9"/>
    <w:rsid w:val="00554E3F"/>
    <w:rsid w:val="00561E0E"/>
    <w:rsid w:val="00583C0E"/>
    <w:rsid w:val="00583CC6"/>
    <w:rsid w:val="00584708"/>
    <w:rsid w:val="005A39AC"/>
    <w:rsid w:val="005B2EC1"/>
    <w:rsid w:val="005B3BC0"/>
    <w:rsid w:val="005C3B21"/>
    <w:rsid w:val="005E488A"/>
    <w:rsid w:val="005F64B4"/>
    <w:rsid w:val="005F6886"/>
    <w:rsid w:val="0060231F"/>
    <w:rsid w:val="00606A48"/>
    <w:rsid w:val="00607742"/>
    <w:rsid w:val="006145B4"/>
    <w:rsid w:val="00621172"/>
    <w:rsid w:val="00625607"/>
    <w:rsid w:val="0062591A"/>
    <w:rsid w:val="00626D4F"/>
    <w:rsid w:val="0063313D"/>
    <w:rsid w:val="00641997"/>
    <w:rsid w:val="00651B29"/>
    <w:rsid w:val="0065541E"/>
    <w:rsid w:val="006562CC"/>
    <w:rsid w:val="006573BA"/>
    <w:rsid w:val="00660832"/>
    <w:rsid w:val="00661D71"/>
    <w:rsid w:val="00662603"/>
    <w:rsid w:val="00665AA7"/>
    <w:rsid w:val="00666B48"/>
    <w:rsid w:val="00684845"/>
    <w:rsid w:val="0068502E"/>
    <w:rsid w:val="00691235"/>
    <w:rsid w:val="006A4CAC"/>
    <w:rsid w:val="006A5AEB"/>
    <w:rsid w:val="006C202B"/>
    <w:rsid w:val="006C2AA1"/>
    <w:rsid w:val="006C7E5C"/>
    <w:rsid w:val="006D1E33"/>
    <w:rsid w:val="006D4648"/>
    <w:rsid w:val="006D4FBB"/>
    <w:rsid w:val="006F29BA"/>
    <w:rsid w:val="006F2EEA"/>
    <w:rsid w:val="006F58FB"/>
    <w:rsid w:val="00705124"/>
    <w:rsid w:val="00737C72"/>
    <w:rsid w:val="00744ACC"/>
    <w:rsid w:val="00751330"/>
    <w:rsid w:val="00783D53"/>
    <w:rsid w:val="007A36F1"/>
    <w:rsid w:val="007B7F17"/>
    <w:rsid w:val="007D7DC5"/>
    <w:rsid w:val="007F2B3B"/>
    <w:rsid w:val="007F5CC9"/>
    <w:rsid w:val="00814E0B"/>
    <w:rsid w:val="008330B9"/>
    <w:rsid w:val="00834D4A"/>
    <w:rsid w:val="0083594C"/>
    <w:rsid w:val="00846912"/>
    <w:rsid w:val="00850C8B"/>
    <w:rsid w:val="0087700D"/>
    <w:rsid w:val="008A433A"/>
    <w:rsid w:val="008B2B68"/>
    <w:rsid w:val="008B43FD"/>
    <w:rsid w:val="008B70D1"/>
    <w:rsid w:val="008C033D"/>
    <w:rsid w:val="008C5769"/>
    <w:rsid w:val="008D4EC4"/>
    <w:rsid w:val="008D5731"/>
    <w:rsid w:val="008F4CF2"/>
    <w:rsid w:val="0090747F"/>
    <w:rsid w:val="0091346F"/>
    <w:rsid w:val="009176D2"/>
    <w:rsid w:val="00917A3A"/>
    <w:rsid w:val="00924744"/>
    <w:rsid w:val="00931C7B"/>
    <w:rsid w:val="0093304B"/>
    <w:rsid w:val="00940A83"/>
    <w:rsid w:val="00976D39"/>
    <w:rsid w:val="00987F36"/>
    <w:rsid w:val="009A6D3D"/>
    <w:rsid w:val="009B540D"/>
    <w:rsid w:val="009C2C9C"/>
    <w:rsid w:val="009C466A"/>
    <w:rsid w:val="009E36E6"/>
    <w:rsid w:val="009E3E36"/>
    <w:rsid w:val="009E6801"/>
    <w:rsid w:val="009E6B44"/>
    <w:rsid w:val="009F51F3"/>
    <w:rsid w:val="009F62A8"/>
    <w:rsid w:val="00A02791"/>
    <w:rsid w:val="00A06025"/>
    <w:rsid w:val="00A11E0B"/>
    <w:rsid w:val="00A1434F"/>
    <w:rsid w:val="00A1569D"/>
    <w:rsid w:val="00A31F51"/>
    <w:rsid w:val="00A437BF"/>
    <w:rsid w:val="00A4429D"/>
    <w:rsid w:val="00A46D2E"/>
    <w:rsid w:val="00A5620B"/>
    <w:rsid w:val="00A57450"/>
    <w:rsid w:val="00A578D3"/>
    <w:rsid w:val="00A634C4"/>
    <w:rsid w:val="00A65AF7"/>
    <w:rsid w:val="00A65DEF"/>
    <w:rsid w:val="00A66172"/>
    <w:rsid w:val="00A72BB8"/>
    <w:rsid w:val="00AA455A"/>
    <w:rsid w:val="00AC281A"/>
    <w:rsid w:val="00AC46BC"/>
    <w:rsid w:val="00AD0500"/>
    <w:rsid w:val="00AD6344"/>
    <w:rsid w:val="00AF643F"/>
    <w:rsid w:val="00B10196"/>
    <w:rsid w:val="00B206BF"/>
    <w:rsid w:val="00B236B2"/>
    <w:rsid w:val="00B25A87"/>
    <w:rsid w:val="00B42E28"/>
    <w:rsid w:val="00B45C60"/>
    <w:rsid w:val="00B5011F"/>
    <w:rsid w:val="00B52394"/>
    <w:rsid w:val="00B66A20"/>
    <w:rsid w:val="00B66C81"/>
    <w:rsid w:val="00B765FC"/>
    <w:rsid w:val="00B77963"/>
    <w:rsid w:val="00BA1A69"/>
    <w:rsid w:val="00BA60A8"/>
    <w:rsid w:val="00BB1932"/>
    <w:rsid w:val="00BB2DD9"/>
    <w:rsid w:val="00BB4D99"/>
    <w:rsid w:val="00BE5F83"/>
    <w:rsid w:val="00C0518C"/>
    <w:rsid w:val="00C32C2E"/>
    <w:rsid w:val="00C37FEF"/>
    <w:rsid w:val="00C42780"/>
    <w:rsid w:val="00C453EE"/>
    <w:rsid w:val="00C560AD"/>
    <w:rsid w:val="00C6180B"/>
    <w:rsid w:val="00C67401"/>
    <w:rsid w:val="00C93EAD"/>
    <w:rsid w:val="00C957E9"/>
    <w:rsid w:val="00CA384F"/>
    <w:rsid w:val="00CB2CFF"/>
    <w:rsid w:val="00CB3EA7"/>
    <w:rsid w:val="00CC5D6F"/>
    <w:rsid w:val="00CD25A5"/>
    <w:rsid w:val="00CD2D38"/>
    <w:rsid w:val="00CE01BE"/>
    <w:rsid w:val="00CF1692"/>
    <w:rsid w:val="00CF7C24"/>
    <w:rsid w:val="00D12AF9"/>
    <w:rsid w:val="00D13841"/>
    <w:rsid w:val="00D16F0F"/>
    <w:rsid w:val="00D31909"/>
    <w:rsid w:val="00D31FC8"/>
    <w:rsid w:val="00D32EE3"/>
    <w:rsid w:val="00D347D3"/>
    <w:rsid w:val="00D44A2E"/>
    <w:rsid w:val="00D553F6"/>
    <w:rsid w:val="00D67C12"/>
    <w:rsid w:val="00D74DB1"/>
    <w:rsid w:val="00D7793C"/>
    <w:rsid w:val="00D80795"/>
    <w:rsid w:val="00D8568B"/>
    <w:rsid w:val="00D874D9"/>
    <w:rsid w:val="00D9347D"/>
    <w:rsid w:val="00DA25D9"/>
    <w:rsid w:val="00DB1906"/>
    <w:rsid w:val="00DB7A83"/>
    <w:rsid w:val="00DC2704"/>
    <w:rsid w:val="00DC4A73"/>
    <w:rsid w:val="00DD3492"/>
    <w:rsid w:val="00DE74A9"/>
    <w:rsid w:val="00DF04F9"/>
    <w:rsid w:val="00E00C72"/>
    <w:rsid w:val="00E055D0"/>
    <w:rsid w:val="00E07DDF"/>
    <w:rsid w:val="00E12129"/>
    <w:rsid w:val="00E212A7"/>
    <w:rsid w:val="00E32147"/>
    <w:rsid w:val="00E51ECB"/>
    <w:rsid w:val="00E55D09"/>
    <w:rsid w:val="00E644D6"/>
    <w:rsid w:val="00E9182D"/>
    <w:rsid w:val="00E9205B"/>
    <w:rsid w:val="00E9669F"/>
    <w:rsid w:val="00EA1A40"/>
    <w:rsid w:val="00EA3F2E"/>
    <w:rsid w:val="00EB61D8"/>
    <w:rsid w:val="00EB6C9B"/>
    <w:rsid w:val="00EE3694"/>
    <w:rsid w:val="00F0455D"/>
    <w:rsid w:val="00F0779C"/>
    <w:rsid w:val="00F07C6C"/>
    <w:rsid w:val="00F10DA5"/>
    <w:rsid w:val="00F12EBF"/>
    <w:rsid w:val="00F148FA"/>
    <w:rsid w:val="00F14BEE"/>
    <w:rsid w:val="00F27A1A"/>
    <w:rsid w:val="00F303B6"/>
    <w:rsid w:val="00F3232F"/>
    <w:rsid w:val="00F41611"/>
    <w:rsid w:val="00F623B0"/>
    <w:rsid w:val="00F649D2"/>
    <w:rsid w:val="00F65CB3"/>
    <w:rsid w:val="00F70100"/>
    <w:rsid w:val="00F754D1"/>
    <w:rsid w:val="00F82053"/>
    <w:rsid w:val="00F87610"/>
    <w:rsid w:val="00FB4D0B"/>
    <w:rsid w:val="00FC66F3"/>
    <w:rsid w:val="00FE32C9"/>
    <w:rsid w:val="00FE37FF"/>
    <w:rsid w:val="00FF4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D008A"/>
  <w15:chartTrackingRefBased/>
  <w15:docId w15:val="{04AD45A0-19FF-4C07-8BE5-E14C91F77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458A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458A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458A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458A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458A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458A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458A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58A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458A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58A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458A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458A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458A8"/>
    <w:rPr>
      <w:rFonts w:cstheme="majorBidi"/>
      <w:color w:val="0F4761" w:themeColor="accent1" w:themeShade="BF"/>
      <w:sz w:val="28"/>
      <w:szCs w:val="28"/>
    </w:rPr>
  </w:style>
  <w:style w:type="character" w:customStyle="1" w:styleId="50">
    <w:name w:val="标题 5 字符"/>
    <w:basedOn w:val="a0"/>
    <w:link w:val="5"/>
    <w:uiPriority w:val="9"/>
    <w:semiHidden/>
    <w:rsid w:val="000458A8"/>
    <w:rPr>
      <w:rFonts w:cstheme="majorBidi"/>
      <w:color w:val="0F4761" w:themeColor="accent1" w:themeShade="BF"/>
      <w:sz w:val="24"/>
      <w:szCs w:val="24"/>
    </w:rPr>
  </w:style>
  <w:style w:type="character" w:customStyle="1" w:styleId="60">
    <w:name w:val="标题 6 字符"/>
    <w:basedOn w:val="a0"/>
    <w:link w:val="6"/>
    <w:uiPriority w:val="9"/>
    <w:semiHidden/>
    <w:rsid w:val="000458A8"/>
    <w:rPr>
      <w:rFonts w:cstheme="majorBidi"/>
      <w:b/>
      <w:bCs/>
      <w:color w:val="0F4761" w:themeColor="accent1" w:themeShade="BF"/>
    </w:rPr>
  </w:style>
  <w:style w:type="character" w:customStyle="1" w:styleId="70">
    <w:name w:val="标题 7 字符"/>
    <w:basedOn w:val="a0"/>
    <w:link w:val="7"/>
    <w:uiPriority w:val="9"/>
    <w:semiHidden/>
    <w:rsid w:val="000458A8"/>
    <w:rPr>
      <w:rFonts w:cstheme="majorBidi"/>
      <w:b/>
      <w:bCs/>
      <w:color w:val="595959" w:themeColor="text1" w:themeTint="A6"/>
    </w:rPr>
  </w:style>
  <w:style w:type="character" w:customStyle="1" w:styleId="80">
    <w:name w:val="标题 8 字符"/>
    <w:basedOn w:val="a0"/>
    <w:link w:val="8"/>
    <w:uiPriority w:val="9"/>
    <w:semiHidden/>
    <w:rsid w:val="000458A8"/>
    <w:rPr>
      <w:rFonts w:cstheme="majorBidi"/>
      <w:color w:val="595959" w:themeColor="text1" w:themeTint="A6"/>
    </w:rPr>
  </w:style>
  <w:style w:type="character" w:customStyle="1" w:styleId="90">
    <w:name w:val="标题 9 字符"/>
    <w:basedOn w:val="a0"/>
    <w:link w:val="9"/>
    <w:uiPriority w:val="9"/>
    <w:semiHidden/>
    <w:rsid w:val="000458A8"/>
    <w:rPr>
      <w:rFonts w:eastAsiaTheme="majorEastAsia" w:cstheme="majorBidi"/>
      <w:color w:val="595959" w:themeColor="text1" w:themeTint="A6"/>
    </w:rPr>
  </w:style>
  <w:style w:type="paragraph" w:styleId="a3">
    <w:name w:val="Title"/>
    <w:basedOn w:val="a"/>
    <w:next w:val="a"/>
    <w:link w:val="a4"/>
    <w:uiPriority w:val="10"/>
    <w:qFormat/>
    <w:rsid w:val="000458A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58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58A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58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58A8"/>
    <w:pPr>
      <w:spacing w:before="160" w:after="160"/>
      <w:jc w:val="center"/>
    </w:pPr>
    <w:rPr>
      <w:i/>
      <w:iCs/>
      <w:color w:val="404040" w:themeColor="text1" w:themeTint="BF"/>
    </w:rPr>
  </w:style>
  <w:style w:type="character" w:customStyle="1" w:styleId="a8">
    <w:name w:val="引用 字符"/>
    <w:basedOn w:val="a0"/>
    <w:link w:val="a7"/>
    <w:uiPriority w:val="29"/>
    <w:rsid w:val="000458A8"/>
    <w:rPr>
      <w:i/>
      <w:iCs/>
      <w:color w:val="404040" w:themeColor="text1" w:themeTint="BF"/>
    </w:rPr>
  </w:style>
  <w:style w:type="paragraph" w:styleId="a9">
    <w:name w:val="List Paragraph"/>
    <w:basedOn w:val="a"/>
    <w:uiPriority w:val="34"/>
    <w:qFormat/>
    <w:rsid w:val="000458A8"/>
    <w:pPr>
      <w:ind w:left="720"/>
      <w:contextualSpacing/>
    </w:pPr>
  </w:style>
  <w:style w:type="character" w:styleId="aa">
    <w:name w:val="Intense Emphasis"/>
    <w:basedOn w:val="a0"/>
    <w:uiPriority w:val="21"/>
    <w:qFormat/>
    <w:rsid w:val="000458A8"/>
    <w:rPr>
      <w:i/>
      <w:iCs/>
      <w:color w:val="0F4761" w:themeColor="accent1" w:themeShade="BF"/>
    </w:rPr>
  </w:style>
  <w:style w:type="paragraph" w:styleId="ab">
    <w:name w:val="Intense Quote"/>
    <w:basedOn w:val="a"/>
    <w:next w:val="a"/>
    <w:link w:val="ac"/>
    <w:uiPriority w:val="30"/>
    <w:qFormat/>
    <w:rsid w:val="00045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458A8"/>
    <w:rPr>
      <w:i/>
      <w:iCs/>
      <w:color w:val="0F4761" w:themeColor="accent1" w:themeShade="BF"/>
    </w:rPr>
  </w:style>
  <w:style w:type="character" w:styleId="ad">
    <w:name w:val="Intense Reference"/>
    <w:basedOn w:val="a0"/>
    <w:uiPriority w:val="32"/>
    <w:qFormat/>
    <w:rsid w:val="000458A8"/>
    <w:rPr>
      <w:b/>
      <w:bCs/>
      <w:smallCaps/>
      <w:color w:val="0F4761" w:themeColor="accent1" w:themeShade="BF"/>
      <w:spacing w:val="5"/>
    </w:rPr>
  </w:style>
  <w:style w:type="character" w:styleId="ae">
    <w:name w:val="Hyperlink"/>
    <w:basedOn w:val="a0"/>
    <w:uiPriority w:val="99"/>
    <w:unhideWhenUsed/>
    <w:rsid w:val="00850C8B"/>
    <w:rPr>
      <w:color w:val="467886" w:themeColor="hyperlink"/>
      <w:u w:val="single"/>
    </w:rPr>
  </w:style>
  <w:style w:type="character" w:styleId="af">
    <w:name w:val="Unresolved Mention"/>
    <w:basedOn w:val="a0"/>
    <w:uiPriority w:val="99"/>
    <w:semiHidden/>
    <w:unhideWhenUsed/>
    <w:rsid w:val="00850C8B"/>
    <w:rPr>
      <w:color w:val="605E5C"/>
      <w:shd w:val="clear" w:color="auto" w:fill="E1DFDD"/>
    </w:rPr>
  </w:style>
  <w:style w:type="paragraph" w:styleId="af0">
    <w:name w:val="header"/>
    <w:basedOn w:val="a"/>
    <w:link w:val="af1"/>
    <w:uiPriority w:val="99"/>
    <w:unhideWhenUsed/>
    <w:rsid w:val="00DC4A73"/>
    <w:pPr>
      <w:tabs>
        <w:tab w:val="center" w:pos="4153"/>
        <w:tab w:val="right" w:pos="8306"/>
      </w:tabs>
      <w:snapToGrid w:val="0"/>
      <w:jc w:val="center"/>
    </w:pPr>
    <w:rPr>
      <w:sz w:val="18"/>
      <w:szCs w:val="18"/>
    </w:rPr>
  </w:style>
  <w:style w:type="character" w:customStyle="1" w:styleId="af1">
    <w:name w:val="页眉 字符"/>
    <w:basedOn w:val="a0"/>
    <w:link w:val="af0"/>
    <w:uiPriority w:val="99"/>
    <w:rsid w:val="00DC4A73"/>
    <w:rPr>
      <w:sz w:val="18"/>
      <w:szCs w:val="18"/>
    </w:rPr>
  </w:style>
  <w:style w:type="paragraph" w:styleId="af2">
    <w:name w:val="footer"/>
    <w:basedOn w:val="a"/>
    <w:link w:val="af3"/>
    <w:uiPriority w:val="99"/>
    <w:unhideWhenUsed/>
    <w:rsid w:val="00DC4A73"/>
    <w:pPr>
      <w:tabs>
        <w:tab w:val="center" w:pos="4153"/>
        <w:tab w:val="right" w:pos="8306"/>
      </w:tabs>
      <w:snapToGrid w:val="0"/>
      <w:jc w:val="left"/>
    </w:pPr>
    <w:rPr>
      <w:sz w:val="18"/>
      <w:szCs w:val="18"/>
    </w:rPr>
  </w:style>
  <w:style w:type="character" w:customStyle="1" w:styleId="af3">
    <w:name w:val="页脚 字符"/>
    <w:basedOn w:val="a0"/>
    <w:link w:val="af2"/>
    <w:uiPriority w:val="99"/>
    <w:rsid w:val="00DC4A73"/>
    <w:rPr>
      <w:sz w:val="18"/>
      <w:szCs w:val="18"/>
    </w:rPr>
  </w:style>
  <w:style w:type="character" w:styleId="af4">
    <w:name w:val="Placeholder Text"/>
    <w:basedOn w:val="a0"/>
    <w:uiPriority w:val="99"/>
    <w:semiHidden/>
    <w:rsid w:val="00A578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4</Pages>
  <Words>468</Words>
  <Characters>2674</Characters>
  <Application>Microsoft Office Word</Application>
  <DocSecurity>0</DocSecurity>
  <Lines>22</Lines>
  <Paragraphs>6</Paragraphs>
  <ScaleCrop>false</ScaleCrop>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施男 张</dc:creator>
  <cp:keywords/>
  <dc:description/>
  <cp:lastModifiedBy>施男 张</cp:lastModifiedBy>
  <cp:revision>4</cp:revision>
  <dcterms:created xsi:type="dcterms:W3CDTF">2026-09-29T10:00:00Z</dcterms:created>
  <dcterms:modified xsi:type="dcterms:W3CDTF">2026-09-30T07:55:00Z</dcterms:modified>
</cp:coreProperties>
</file>