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0"/>
        <w:jc w:val="center"/>
      </w:pPr>
      <w:r>
        <w:rPr>
          <w:rFonts w:ascii="Times New Roman" w:hAnsi="Times New Roman" w:eastAsia="宋体" w:cs="Times New Roman"/>
          <w:b/>
          <w:color w:val="2E75B5"/>
          <w:sz w:val="36"/>
        </w:rPr>
        <w:t>文献：</w:t>
      </w:r>
      <w:r>
        <w:rPr>
          <w:rFonts w:ascii="Times New Roman" w:hAnsi="Times New Roman" w:eastAsia="宋体" w:cs="Times New Roman"/>
          <w:b/>
          <w:color w:val="2E75B5"/>
          <w:sz w:val="36"/>
        </w:rPr>
        <w:t>Hot Summers in the Northern Hemisphere</w:t>
      </w:r>
    </w:p>
    <w:p>
      <w:pPr>
        <w:spacing w:before="0" w:after="0"/>
      </w:pPr>
      <w:r>
        <w:rPr>
          <w:rFonts w:ascii="Times New Roman" w:hAnsi="Times New Roman" w:eastAsia="宋体" w:cs="Times New Roman"/>
          <w:i/>
          <w:color w:val="000000"/>
          <w:sz w:val="24"/>
        </w:rPr>
        <w:t xml:space="preserve">Zheng, J., &amp; Wang, C. Hot summers in the Northern Hemisphere. Geophysical Research Letters 46, 10891–10900 (2019). </w:t>
      </w:r>
      <w:r>
        <w:rPr>
          <w:rFonts w:ascii="Times New Roman" w:hAnsi="Times New Roman" w:eastAsia="宋体" w:cs="Times New Roman"/>
          <w:i/>
          <w:color w:val="156082"/>
          <w:sz w:val="24"/>
        </w:rPr>
        <w:t>https://doi.org/10.1029/2019GL084219</w:t>
      </w:r>
    </w:p>
    <w:p>
      <w:pPr>
        <w:keepNext w:val="0"/>
        <w:spacing w:before="0" w:after="0" w:line="240" w:lineRule="auto"/>
      </w:pPr>
    </w:p>
    <w:p>
      <w:pPr>
        <w:keepNext/>
        <w:spacing w:before="0" w:after="0" w:line="240" w:lineRule="auto"/>
      </w:pPr>
      <w:r>
        <w:rPr>
          <w:rFonts w:ascii="Times New Roman" w:hAnsi="Times New Roman" w:eastAsia="宋体" w:cs="Times New Roman"/>
          <w:color w:val="000000"/>
          <w:sz w:val="32"/>
        </w:rPr>
        <w:t>文章思路：</w:t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color w:val="000000"/>
          <w:sz w:val="24"/>
        </w:rPr>
        <w:t>研究背景：</w:t>
      </w:r>
      <w:r>
        <w:rPr>
          <w:rFonts w:ascii="Times New Roman" w:hAnsi="Times New Roman" w:eastAsia="宋体" w:cs="Times New Roman"/>
          <w:color w:val="000000"/>
          <w:sz w:val="24"/>
        </w:rPr>
        <w:t>北半球2017年和2018年夏季均偏热，但高温异常的空间分布明显不同。已有研究多关注全球增暖、ENSO和北大西洋涛动等因素，仍难解释两年间各区域的异常差异，也难定量比较长期增暖与大气内部变率的作用。本文识别影响北半球夏季地表气温的遥相关环流型，并检验它们对两次高温夏季的解释和预测能力。</w:t>
      </w:r>
    </w:p>
    <w:p>
      <w:pPr>
        <w:keepNext/>
        <w:spacing w:before="40" w:after="0" w:line="360" w:lineRule="auto"/>
      </w:pPr>
      <w:r>
        <w:rPr>
          <w:rFonts w:ascii="Times New Roman" w:hAnsi="Times New Roman" w:eastAsia="宋体" w:cs="Times New Roman"/>
          <w:color w:val="000000"/>
          <w:sz w:val="28"/>
        </w:rPr>
        <w:t>研究数据：</w:t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color w:val="000000"/>
          <w:sz w:val="24"/>
        </w:rPr>
      </w:r>
      <w:r>
        <w:rPr>
          <w:rFonts w:ascii="Times New Roman" w:hAnsi="Times New Roman" w:eastAsia="宋体" w:cs="Times New Roman"/>
          <w:color w:val="000000"/>
          <w:sz w:val="24"/>
        </w:rPr>
        <w:t>研究使用1950至2018年6至8月的NCEP/NCAR第一代再分析资料，包括地表气温、500百帕位势高度和水平风场，空间分辨率为2.5°×2.5°。另用ERA-40资料检验环流型两极间的跷跷板关系，气候平均期设为1971至2000年。</w:t>
      </w:r>
    </w:p>
    <w:p>
      <w:pPr>
        <w:keepNext/>
        <w:spacing w:before="40" w:after="0" w:line="360" w:lineRule="auto"/>
      </w:pPr>
      <w:r>
        <w:rPr>
          <w:rFonts w:ascii="Times New Roman" w:hAnsi="Times New Roman" w:eastAsia="宋体" w:cs="Times New Roman"/>
          <w:color w:val="000000"/>
          <w:sz w:val="28"/>
        </w:rPr>
        <w:t>研究方法：</w:t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color w:val="000000"/>
          <w:sz w:val="24"/>
        </w:rPr>
      </w:r>
      <w:r>
        <w:rPr>
          <w:rFonts w:ascii="Times New Roman" w:hAnsi="Times New Roman" w:eastAsia="宋体" w:cs="Times New Roman"/>
          <w:color w:val="000000"/>
          <w:sz w:val="24"/>
        </w:rPr>
        <w:t>作者对去趋势后的夏季500百帕位势高度计算格点间最大负相关，并按显著遥相关线识别七类环流型，再以两极标准化位势高度异常之差构造指数。随后将线性趋势作为全球变暖的简化估计，结合环流指数建立逐步回归模型，重建并分解气温异常。预测检验则用截至上一年的历史资料建模，再输入2017年或2018年的环流型指数。</w:t>
      </w:r>
    </w:p>
    <w:p>
      <w:pPr>
        <w:keepNext/>
        <w:spacing w:before="40" w:after="0" w:line="360" w:lineRule="auto"/>
      </w:pPr>
      <w:r>
        <w:rPr>
          <w:rFonts w:ascii="Times New Roman" w:hAnsi="Times New Roman" w:eastAsia="宋体" w:cs="Times New Roman"/>
          <w:color w:val="000000"/>
          <w:sz w:val="28"/>
        </w:rPr>
        <w:t>研究结果：</w:t>
      </w:r>
    </w:p>
    <w:p>
      <w:pPr>
        <w:pStyle w:val="a9"/>
        <w:spacing w:line="360" w:lineRule="auto" w:before="0" w:after="0"/>
        <w:numPr>
          <w:ilvl w:val="0"/>
          <w:numId w:val="1"/>
        </w:numPr>
      </w:pPr>
      <w:r>
        <w:rPr>
          <w:rFonts w:ascii="Times New Roman" w:hAnsi="Times New Roman" w:eastAsia="宋体" w:cs="Times New Roman"/>
          <w:b/>
          <w:color w:val="000000"/>
          <w:sz w:val="24"/>
        </w:rPr>
        <w:t>环流型识别：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作者识别出七类夏季环流型，包括北大西洋型、欧洲型、东大西洋型、西大西洋型、楚科奇海与北美型、北冰洋与北美型、波弗特海与西伯利亚型。指数由各环流型两极的位势高度差构成，可简明描述其年际变化。高温区通常伴随正位势高度和反气旋异常。</w:t>
      </w:r>
    </w:p>
    <w:p>
      <w:pPr>
        <w:pStyle w:val="a9"/>
        <w:spacing w:line="360" w:lineRule="auto" w:before="0" w:after="0"/>
        <w:numPr>
          <w:ilvl w:val="0"/>
          <w:numId w:val="1"/>
        </w:numPr>
      </w:pPr>
      <w:r>
        <w:rPr>
          <w:rFonts w:ascii="Times New Roman" w:hAnsi="Times New Roman" w:eastAsia="宋体" w:cs="Times New Roman"/>
          <w:b/>
          <w:color w:val="000000"/>
          <w:sz w:val="24"/>
        </w:rPr>
        <w:t>成因归因：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将全球变暖趋势与环流变率合并后，模型能重现2017年和2018年的主要暖区。作者选取的三个区域中，两类因素合计解释2017年气温变化的70.4%至83.1%，2018年为77.4%至87.9%。环流内部变率的影响总体与长期增暖相当，在2017年北美西部和2018年所选的三个区域更强。</w:t>
      </w:r>
    </w:p>
    <w:p>
      <w:pPr>
        <w:pStyle w:val="a9"/>
        <w:spacing w:line="360" w:lineRule="auto" w:before="0" w:after="0"/>
        <w:numPr>
          <w:ilvl w:val="0"/>
          <w:numId w:val="1"/>
        </w:numPr>
      </w:pPr>
      <w:r>
        <w:rPr>
          <w:rFonts w:ascii="Times New Roman" w:hAnsi="Times New Roman" w:eastAsia="宋体" w:cs="Times New Roman"/>
          <w:b/>
          <w:color w:val="000000"/>
          <w:sz w:val="24"/>
        </w:rPr>
        <w:t>预测检验：</w:t>
      </w:r>
      <w:r>
        <w:rPr>
          <w:rFonts w:ascii="Times New Roman" w:hAnsi="Times New Roman" w:eastAsia="宋体" w:cs="Times New Roman"/>
          <w:color w:val="000000"/>
          <w:sz w:val="24"/>
        </w:rPr>
        <w:t>以截至前一年的历史资料建立模型，并输入2017年或2018年的环流型指数，预测结果均抓住观测中的主要异常分布。这表明，若能准确预报关键环流型，可为夏季气温预测提供重要信息；环流型对远距离区域的影响可能与绕半球传播的波列有关。</w:t>
      </w:r>
    </w:p>
    <w:p>
      <w:pPr>
        <w:keepNext w:val="0"/>
        <w:spacing w:before="0" w:after="0" w:line="240" w:lineRule="auto"/>
      </w:pPr>
    </w:p>
    <w:p>
      <w:pPr>
        <w:keepNext/>
        <w:spacing w:before="0" w:after="0" w:line="240" w:lineRule="auto"/>
      </w:pPr>
      <w:r>
        <w:rPr>
          <w:rFonts w:ascii="Times New Roman" w:hAnsi="Times New Roman" w:eastAsia="宋体" w:cs="Times New Roman"/>
          <w:color w:val="000000"/>
          <w:sz w:val="32"/>
        </w:rPr>
        <w:t>受到的启发：</w:t>
      </w:r>
    </w:p>
    <w:p>
      <w:pPr>
        <w:pStyle w:val="a9"/>
        <w:spacing w:line="360" w:lineRule="auto" w:before="0" w:after="0"/>
        <w:numPr>
          <w:ilvl w:val="0"/>
          <w:numId w:val="2"/>
        </w:numPr>
        <w:ind w:left="360" w:hanging="360"/>
      </w:pPr>
      <w:r>
        <w:rPr>
          <w:rFonts w:ascii="Times New Roman" w:hAnsi="Times New Roman" w:eastAsia="宋体" w:cs="Times New Roman"/>
          <w:b/>
          <w:color w:val="000000"/>
          <w:sz w:val="24"/>
        </w:rPr>
        <w:t>分析思路：</w:t>
      </w:r>
      <w:r>
        <w:rPr>
          <w:rFonts w:ascii="Times New Roman" w:hAnsi="Times New Roman" w:eastAsia="宋体" w:cs="Times New Roman"/>
          <w:color w:val="000000"/>
          <w:sz w:val="24"/>
        </w:rPr>
        <w:t>解释单年高温时，不能只依据长期增暖趋势或某一个气候指数。将增暖背景与自然环流变率纳入同一框架，有助于比较不同因素的作用，也为衔接环流预测和气温预测提供了清晰思路。</w:t>
      </w:r>
    </w:p>
    <w:p>
      <w:pPr>
        <w:pStyle w:val="a9"/>
        <w:spacing w:line="360" w:lineRule="auto" w:before="0" w:after="0"/>
        <w:numPr>
          <w:ilvl w:val="0"/>
          <w:numId w:val="2"/>
        </w:numPr>
        <w:ind w:left="360" w:hanging="360"/>
      </w:pPr>
      <w:r>
        <w:rPr>
          <w:rFonts w:ascii="Times New Roman" w:hAnsi="Times New Roman" w:eastAsia="宋体" w:cs="Times New Roman"/>
          <w:b/>
          <w:color w:val="000000"/>
          <w:sz w:val="24"/>
        </w:rPr>
        <w:t>结果边界：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论文以线性趋势近似全球变暖，并用2017年和2018年两个个例检验，因此结果应理解为统计分解，不能等同于完整的因果证明。ENSO、北极海冰及环流型之间的相互作用仍需评估，后续可用更长时间序列和多套资料检验稳健性，并考察非线性增暖与环流指数预报误差的影响。</w:t>
      </w:r>
    </w:p>
    <w:sectPr w:rsidR="0030661C" w:rsidRPr="006D4FBB">
      <w:pgSz w:w="11909" w:h="16834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EEF0E" w14:textId="77777777" w:rsidR="00D32EE3" w:rsidRDefault="00D32EE3" w:rsidP="00DC4A73">
      <w:pPr>
        <w:rPr>
          <w:rFonts w:hint="eastAsia"/>
        </w:rPr>
      </w:pPr>
      <w:r>
        <w:separator/>
      </w:r>
    </w:p>
  </w:endnote>
  <w:endnote w:type="continuationSeparator" w:id="0">
    <w:p w14:paraId="560CB710" w14:textId="77777777" w:rsidR="00D32EE3" w:rsidRDefault="00D32EE3" w:rsidP="00DC4A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DC9C" w14:textId="77777777" w:rsidR="00D32EE3" w:rsidRDefault="00D32EE3" w:rsidP="00DC4A73">
      <w:pPr>
        <w:rPr>
          <w:rFonts w:hint="eastAsia"/>
        </w:rPr>
      </w:pPr>
      <w:r>
        <w:separator/>
      </w:r>
    </w:p>
  </w:footnote>
  <w:footnote w:type="continuationSeparator" w:id="0">
    <w:p w14:paraId="1E6A48AD" w14:textId="77777777" w:rsidR="00D32EE3" w:rsidRDefault="00D32EE3" w:rsidP="00DC4A7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015BB"/>
    <w:multiLevelType w:val="hybridMultilevel"/>
    <w:tmpl w:val="3A123330"/>
    <w:lvl w:ilvl="0" w:tplc="E34A1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5E5B7B"/>
    <w:multiLevelType w:val="hybridMultilevel"/>
    <w:tmpl w:val="EDA43FAC"/>
    <w:lvl w:ilvl="0" w:tplc="0BA28C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1809523">
    <w:abstractNumId w:val="0"/>
  </w:num>
  <w:num w:numId="2" w16cid:durableId="25082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A8"/>
    <w:rsid w:val="00000875"/>
    <w:rsid w:val="000045E7"/>
    <w:rsid w:val="00013491"/>
    <w:rsid w:val="0002014C"/>
    <w:rsid w:val="0003045C"/>
    <w:rsid w:val="0003236D"/>
    <w:rsid w:val="00035416"/>
    <w:rsid w:val="00035960"/>
    <w:rsid w:val="0004209C"/>
    <w:rsid w:val="00042B20"/>
    <w:rsid w:val="000458A8"/>
    <w:rsid w:val="00045F80"/>
    <w:rsid w:val="00072B72"/>
    <w:rsid w:val="00077B0E"/>
    <w:rsid w:val="00085DCB"/>
    <w:rsid w:val="00091019"/>
    <w:rsid w:val="00091821"/>
    <w:rsid w:val="000A4808"/>
    <w:rsid w:val="000A4D31"/>
    <w:rsid w:val="000B169A"/>
    <w:rsid w:val="000C1A53"/>
    <w:rsid w:val="000D58AC"/>
    <w:rsid w:val="000D5FE3"/>
    <w:rsid w:val="000E660E"/>
    <w:rsid w:val="000F1FBB"/>
    <w:rsid w:val="000F2BF8"/>
    <w:rsid w:val="000F37D4"/>
    <w:rsid w:val="00116803"/>
    <w:rsid w:val="001206E6"/>
    <w:rsid w:val="00121172"/>
    <w:rsid w:val="0014012A"/>
    <w:rsid w:val="001502AD"/>
    <w:rsid w:val="00153C72"/>
    <w:rsid w:val="00157E6D"/>
    <w:rsid w:val="00162E09"/>
    <w:rsid w:val="0017526A"/>
    <w:rsid w:val="00190BDB"/>
    <w:rsid w:val="00192357"/>
    <w:rsid w:val="001B7E8F"/>
    <w:rsid w:val="001C128A"/>
    <w:rsid w:val="001D0599"/>
    <w:rsid w:val="001D1143"/>
    <w:rsid w:val="001D5577"/>
    <w:rsid w:val="001E47F9"/>
    <w:rsid w:val="001E584A"/>
    <w:rsid w:val="001E7DF2"/>
    <w:rsid w:val="00205F63"/>
    <w:rsid w:val="00213C3E"/>
    <w:rsid w:val="00254143"/>
    <w:rsid w:val="00266953"/>
    <w:rsid w:val="00275C4F"/>
    <w:rsid w:val="00292DD2"/>
    <w:rsid w:val="002B7C4F"/>
    <w:rsid w:val="002C17CF"/>
    <w:rsid w:val="002C27D1"/>
    <w:rsid w:val="002D1826"/>
    <w:rsid w:val="002F4151"/>
    <w:rsid w:val="002F5952"/>
    <w:rsid w:val="00301351"/>
    <w:rsid w:val="003049CB"/>
    <w:rsid w:val="0030661C"/>
    <w:rsid w:val="00310CFB"/>
    <w:rsid w:val="00317B17"/>
    <w:rsid w:val="003248E3"/>
    <w:rsid w:val="00333F4E"/>
    <w:rsid w:val="003407BC"/>
    <w:rsid w:val="00346FA4"/>
    <w:rsid w:val="00352F07"/>
    <w:rsid w:val="00355BA1"/>
    <w:rsid w:val="0037012C"/>
    <w:rsid w:val="0037379A"/>
    <w:rsid w:val="00375A59"/>
    <w:rsid w:val="00377B09"/>
    <w:rsid w:val="00381D4E"/>
    <w:rsid w:val="00382071"/>
    <w:rsid w:val="00386B06"/>
    <w:rsid w:val="003908D9"/>
    <w:rsid w:val="0039090A"/>
    <w:rsid w:val="00396490"/>
    <w:rsid w:val="003B5F4F"/>
    <w:rsid w:val="003B7B23"/>
    <w:rsid w:val="003B7BCF"/>
    <w:rsid w:val="003D3D6F"/>
    <w:rsid w:val="003D696A"/>
    <w:rsid w:val="003E131F"/>
    <w:rsid w:val="003E5B87"/>
    <w:rsid w:val="003E718A"/>
    <w:rsid w:val="003F16EC"/>
    <w:rsid w:val="003F7DA9"/>
    <w:rsid w:val="00402CCC"/>
    <w:rsid w:val="004038B3"/>
    <w:rsid w:val="004051A6"/>
    <w:rsid w:val="0041685F"/>
    <w:rsid w:val="00416F56"/>
    <w:rsid w:val="00421177"/>
    <w:rsid w:val="00430347"/>
    <w:rsid w:val="00430EDE"/>
    <w:rsid w:val="004564B9"/>
    <w:rsid w:val="00485F43"/>
    <w:rsid w:val="00495FD1"/>
    <w:rsid w:val="004A42F0"/>
    <w:rsid w:val="004B0C03"/>
    <w:rsid w:val="004B2A14"/>
    <w:rsid w:val="004B5E39"/>
    <w:rsid w:val="004C28BE"/>
    <w:rsid w:val="004C5230"/>
    <w:rsid w:val="004D636D"/>
    <w:rsid w:val="004E731B"/>
    <w:rsid w:val="004F042D"/>
    <w:rsid w:val="00500FFC"/>
    <w:rsid w:val="00502536"/>
    <w:rsid w:val="0050408A"/>
    <w:rsid w:val="0052156B"/>
    <w:rsid w:val="00526C71"/>
    <w:rsid w:val="005302A6"/>
    <w:rsid w:val="005363D3"/>
    <w:rsid w:val="00542709"/>
    <w:rsid w:val="0054305D"/>
    <w:rsid w:val="00543407"/>
    <w:rsid w:val="00544CD2"/>
    <w:rsid w:val="005454F5"/>
    <w:rsid w:val="00546C6D"/>
    <w:rsid w:val="00550DE9"/>
    <w:rsid w:val="00554E3F"/>
    <w:rsid w:val="00561E0E"/>
    <w:rsid w:val="00583C0E"/>
    <w:rsid w:val="00583CC6"/>
    <w:rsid w:val="00584708"/>
    <w:rsid w:val="005A39AC"/>
    <w:rsid w:val="005B2EC1"/>
    <w:rsid w:val="005B3BC0"/>
    <w:rsid w:val="005C3B21"/>
    <w:rsid w:val="005E488A"/>
    <w:rsid w:val="005F64B4"/>
    <w:rsid w:val="005F6886"/>
    <w:rsid w:val="0060231F"/>
    <w:rsid w:val="00606A48"/>
    <w:rsid w:val="00607742"/>
    <w:rsid w:val="006145B4"/>
    <w:rsid w:val="00621172"/>
    <w:rsid w:val="00625607"/>
    <w:rsid w:val="0062591A"/>
    <w:rsid w:val="00626D4F"/>
    <w:rsid w:val="0063313D"/>
    <w:rsid w:val="00641997"/>
    <w:rsid w:val="00651B29"/>
    <w:rsid w:val="0065541E"/>
    <w:rsid w:val="006562CC"/>
    <w:rsid w:val="006573BA"/>
    <w:rsid w:val="00660832"/>
    <w:rsid w:val="00661D71"/>
    <w:rsid w:val="00662603"/>
    <w:rsid w:val="00665AA7"/>
    <w:rsid w:val="00666B48"/>
    <w:rsid w:val="00684845"/>
    <w:rsid w:val="0068502E"/>
    <w:rsid w:val="00691235"/>
    <w:rsid w:val="006A4CAC"/>
    <w:rsid w:val="006A5AEB"/>
    <w:rsid w:val="006C202B"/>
    <w:rsid w:val="006C2AA1"/>
    <w:rsid w:val="006C7E5C"/>
    <w:rsid w:val="006D1E33"/>
    <w:rsid w:val="006D4648"/>
    <w:rsid w:val="006D4FBB"/>
    <w:rsid w:val="006F29BA"/>
    <w:rsid w:val="006F2EEA"/>
    <w:rsid w:val="006F58FB"/>
    <w:rsid w:val="00705124"/>
    <w:rsid w:val="00737C72"/>
    <w:rsid w:val="00744ACC"/>
    <w:rsid w:val="00751330"/>
    <w:rsid w:val="00783D53"/>
    <w:rsid w:val="007A36F1"/>
    <w:rsid w:val="007B7F17"/>
    <w:rsid w:val="007D7DC5"/>
    <w:rsid w:val="007F2B3B"/>
    <w:rsid w:val="007F5CC9"/>
    <w:rsid w:val="00814E0B"/>
    <w:rsid w:val="008330B9"/>
    <w:rsid w:val="00834D4A"/>
    <w:rsid w:val="0083594C"/>
    <w:rsid w:val="00846912"/>
    <w:rsid w:val="00850C8B"/>
    <w:rsid w:val="0087700D"/>
    <w:rsid w:val="008A433A"/>
    <w:rsid w:val="008B2B68"/>
    <w:rsid w:val="008B43FD"/>
    <w:rsid w:val="008B70D1"/>
    <w:rsid w:val="008C033D"/>
    <w:rsid w:val="008C5769"/>
    <w:rsid w:val="008D4EC4"/>
    <w:rsid w:val="008D5731"/>
    <w:rsid w:val="008F4CF2"/>
    <w:rsid w:val="0090747F"/>
    <w:rsid w:val="0091346F"/>
    <w:rsid w:val="009176D2"/>
    <w:rsid w:val="00917A3A"/>
    <w:rsid w:val="00924744"/>
    <w:rsid w:val="00931C7B"/>
    <w:rsid w:val="0093304B"/>
    <w:rsid w:val="00940A83"/>
    <w:rsid w:val="00976D39"/>
    <w:rsid w:val="00987F36"/>
    <w:rsid w:val="009A6D3D"/>
    <w:rsid w:val="009B540D"/>
    <w:rsid w:val="009C2C9C"/>
    <w:rsid w:val="009C466A"/>
    <w:rsid w:val="009E36E6"/>
    <w:rsid w:val="009E3E36"/>
    <w:rsid w:val="009E6801"/>
    <w:rsid w:val="009E6B44"/>
    <w:rsid w:val="009F51F3"/>
    <w:rsid w:val="009F62A8"/>
    <w:rsid w:val="00A02791"/>
    <w:rsid w:val="00A06025"/>
    <w:rsid w:val="00A11E0B"/>
    <w:rsid w:val="00A1434F"/>
    <w:rsid w:val="00A1569D"/>
    <w:rsid w:val="00A31F51"/>
    <w:rsid w:val="00A437BF"/>
    <w:rsid w:val="00A4429D"/>
    <w:rsid w:val="00A46D2E"/>
    <w:rsid w:val="00A5620B"/>
    <w:rsid w:val="00A57450"/>
    <w:rsid w:val="00A578D3"/>
    <w:rsid w:val="00A634C4"/>
    <w:rsid w:val="00A65AF7"/>
    <w:rsid w:val="00A65DEF"/>
    <w:rsid w:val="00A66172"/>
    <w:rsid w:val="00A72BB8"/>
    <w:rsid w:val="00AA455A"/>
    <w:rsid w:val="00AC281A"/>
    <w:rsid w:val="00AC46BC"/>
    <w:rsid w:val="00AD0500"/>
    <w:rsid w:val="00AD6344"/>
    <w:rsid w:val="00AF643F"/>
    <w:rsid w:val="00B10196"/>
    <w:rsid w:val="00B206BF"/>
    <w:rsid w:val="00B236B2"/>
    <w:rsid w:val="00B25A87"/>
    <w:rsid w:val="00B42E28"/>
    <w:rsid w:val="00B45C60"/>
    <w:rsid w:val="00B5011F"/>
    <w:rsid w:val="00B52394"/>
    <w:rsid w:val="00B66A20"/>
    <w:rsid w:val="00B66C81"/>
    <w:rsid w:val="00B765FC"/>
    <w:rsid w:val="00B77963"/>
    <w:rsid w:val="00BA1A69"/>
    <w:rsid w:val="00BA60A8"/>
    <w:rsid w:val="00BB1932"/>
    <w:rsid w:val="00BB2DD9"/>
    <w:rsid w:val="00BB4D99"/>
    <w:rsid w:val="00BE5F83"/>
    <w:rsid w:val="00C0518C"/>
    <w:rsid w:val="00C32C2E"/>
    <w:rsid w:val="00C37FEF"/>
    <w:rsid w:val="00C42780"/>
    <w:rsid w:val="00C453EE"/>
    <w:rsid w:val="00C560AD"/>
    <w:rsid w:val="00C6180B"/>
    <w:rsid w:val="00C67401"/>
    <w:rsid w:val="00C93EAD"/>
    <w:rsid w:val="00C957E9"/>
    <w:rsid w:val="00CA384F"/>
    <w:rsid w:val="00CB2CFF"/>
    <w:rsid w:val="00CB3EA7"/>
    <w:rsid w:val="00CC5D6F"/>
    <w:rsid w:val="00CD25A5"/>
    <w:rsid w:val="00CD2D38"/>
    <w:rsid w:val="00CE01BE"/>
    <w:rsid w:val="00CF1692"/>
    <w:rsid w:val="00CF7C24"/>
    <w:rsid w:val="00D12AF9"/>
    <w:rsid w:val="00D13841"/>
    <w:rsid w:val="00D16F0F"/>
    <w:rsid w:val="00D31909"/>
    <w:rsid w:val="00D31FC8"/>
    <w:rsid w:val="00D32EE3"/>
    <w:rsid w:val="00D347D3"/>
    <w:rsid w:val="00D44A2E"/>
    <w:rsid w:val="00D553F6"/>
    <w:rsid w:val="00D67C12"/>
    <w:rsid w:val="00D74DB1"/>
    <w:rsid w:val="00D7793C"/>
    <w:rsid w:val="00D80795"/>
    <w:rsid w:val="00D8568B"/>
    <w:rsid w:val="00D874D9"/>
    <w:rsid w:val="00D9347D"/>
    <w:rsid w:val="00DA25D9"/>
    <w:rsid w:val="00DB1906"/>
    <w:rsid w:val="00DB7A83"/>
    <w:rsid w:val="00DC2704"/>
    <w:rsid w:val="00DC4A73"/>
    <w:rsid w:val="00DD3492"/>
    <w:rsid w:val="00DE74A9"/>
    <w:rsid w:val="00DF04F9"/>
    <w:rsid w:val="00E00C72"/>
    <w:rsid w:val="00E055D0"/>
    <w:rsid w:val="00E07DDF"/>
    <w:rsid w:val="00E12129"/>
    <w:rsid w:val="00E212A7"/>
    <w:rsid w:val="00E32147"/>
    <w:rsid w:val="00E51ECB"/>
    <w:rsid w:val="00E55D09"/>
    <w:rsid w:val="00E644D6"/>
    <w:rsid w:val="00E9182D"/>
    <w:rsid w:val="00E9205B"/>
    <w:rsid w:val="00E9669F"/>
    <w:rsid w:val="00EA1A40"/>
    <w:rsid w:val="00EA3F2E"/>
    <w:rsid w:val="00EB61D8"/>
    <w:rsid w:val="00EB6C9B"/>
    <w:rsid w:val="00EE3694"/>
    <w:rsid w:val="00F0455D"/>
    <w:rsid w:val="00F0779C"/>
    <w:rsid w:val="00F07C6C"/>
    <w:rsid w:val="00F10DA5"/>
    <w:rsid w:val="00F12EBF"/>
    <w:rsid w:val="00F148FA"/>
    <w:rsid w:val="00F14BEE"/>
    <w:rsid w:val="00F27A1A"/>
    <w:rsid w:val="00F303B6"/>
    <w:rsid w:val="00F3232F"/>
    <w:rsid w:val="00F41611"/>
    <w:rsid w:val="00F623B0"/>
    <w:rsid w:val="00F649D2"/>
    <w:rsid w:val="00F65CB3"/>
    <w:rsid w:val="00F70100"/>
    <w:rsid w:val="00F754D1"/>
    <w:rsid w:val="00F82053"/>
    <w:rsid w:val="00F87610"/>
    <w:rsid w:val="00FB4D0B"/>
    <w:rsid w:val="00FC66F3"/>
    <w:rsid w:val="00FE32C9"/>
    <w:rsid w:val="00FE37FF"/>
    <w:rsid w:val="00FF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D008A"/>
  <w15:chartTrackingRefBased/>
  <w15:docId w15:val="{04AD45A0-19FF-4C07-8BE5-E14C91F7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eastAsia="宋体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45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8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8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8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8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8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8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45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8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5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8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8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8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8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8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50C8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50C8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C4A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C4A7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C4A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C4A73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A578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 Summers in the Northern Hemisphere 文献阅读</dc:title>
  <dc:subject>文献阅读</dc:subject>
  <dc:creator>施男 张</dc:creator>
  <cp:keywords/>
  <dc:description/>
  <cp:lastModifiedBy>施男 张</cp:lastModifiedBy>
  <cp:revision>4</cp:revision>
  <dcterms:created xsi:type="dcterms:W3CDTF">2026-09-29T10:00:00Z</dcterms:created>
  <dcterms:modified xsi:type="dcterms:W3CDTF">2026-09-30T07:55:00Z</dcterms:modified>
</cp:coreProperties>
</file>