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r="http://schemas.openxmlformats.org/officeDocument/2006/relationships" xmlns:w="http://schemas.openxmlformats.org/wordprocessingml/2006/main">
  <w:body>
    <w:p>
      <w:pPr>
        <w:pStyle w:val="Heading1"/>
      </w:pPr>
      <w:r>
        <w:t xml:space="preserve">Introduction</w:t>
      </w:r>
    </w:p>
    <w:p>
      <w:pPr>
        <w:pStyle w:val="Normal"/>
      </w:pPr>
      <w:r>
        <w:rPr>
          <w:b/>
        </w:rPr>
        <w:t xml:space="preserve">Human speech depends on coordinated activity across a distributed brain network. Within this network, the insula has long been implicated by clinical and physiological evidence</w:t>
      </w:r>
      <w:r>
        <w:t xml:space="preserve">. lesions and electrical stimulation to can disrupt speech, while neuroimaging and intracranial recordings reveal its engagement across a range of speech tasks. Despite this extensive evidence, studies have assigned the insula diverse from speech perception to motor planning and sometimes conflicting functional roles, and some even denying the insular contribution. </w:t>
      </w:r>
      <w:r>
        <w:rPr>
          <w:b/>
        </w:rPr>
        <w:t xml:space="preserve">How these speech contributions are organized within the human insula remains unresolved.</w:t>
      </w:r>
    </w:p>
    <w:p>
      <w:pPr>
        <w:pStyle w:val="Normal"/>
      </w:pPr>
      <w:r>
        <w:rPr>
          <w:b/>
        </w:rPr>
        <w:t xml:space="preserve">Studies of the insula have yielded diverse and sometimes conflicting accounts of its contribution to speech</w:t>
      </w:r>
      <w:r>
        <w:t xml:space="preserve">. Clinical and neuroimaging evidence has long supported a role in speech motor control, including associations between insular damage and motor speech disorders, stimulation-induced speech arrest, and activation during articulatory tasks. Responses to heard and self-generated speech have also motivated accounts emphasizing sensory feedback monitoring. Neuroimaging studies further implicate the insula in verbal working memory, showing sensitivity to phonological memory load and activity during the maintenance and manipulation of verbal information. However, specific functional interpretations remain contested. Limited pre-articulatory activity and a lack of sensitivity to articulatory complexity in some studies have challenged the proposed role of the insula in articulatory planning. These findings leave unresolved how the proposed motor, sensory and cognitive contributions relate to one another within the insula. Understanding how these contributions are organized across insular populations and expressed as speech unfolds is central to developing a coherent account of insular function.</w:t>
      </w:r>
    </w:p>
    <w:p>
      <w:pPr>
        <w:pStyle w:val="Normal"/>
      </w:pPr>
      <w:r>
        <w:rPr>
          <w:b/>
        </w:rPr>
        <w:t xml:space="preserve">To determine how speech-related functions are organized within the human insula, we obtained large-scale intracranial EEG recordings during a battery of speech and language tasks</w:t>
      </w:r>
      <w:r>
        <w:t xml:space="preserve">. These tasks separated sensory input from speech output and varied input modality and response demands, allowing us to examine insular responses across processing stages and behavioral contexts. Using a data-driven decomposition approach, we identified sensory, sustained and motor components with distinct temporal dynamics and partially overlapping spatial distributions. These components differed in their sensitivity to input modality and behavioral context. Complementary analyses linked this functional differentiation to speech-related representations, behavior and activity in the broader speech network. Together, these findings reveal a spatially differentiated functional architecture underlying the insula’s contributions across multiple stages of speech.</w:t>
      </w:r>
    </w:p>
    <w:p>
      <w:pPr>
        <w:pStyle w:val="Heading1"/>
        <w:pageBreakBefore/>
      </w:pPr>
      <w:r>
        <w:t xml:space="preserve">Methods</w:t>
      </w:r>
    </w:p>
    <w:p>
      <w:pPr>
        <w:pStyle w:val="Normal"/>
        <w:keepNext/>
        <w:spacing w:before="240" w:after="120"/>
      </w:pPr>
      <w:r>
        <w:rPr>
          <w:b/>
        </w:rPr>
        <w:t xml:space="preserve">1.     Participants</w:t>
      </w:r>
    </w:p>
    <w:p>
      <w:pPr>
        <w:pStyle w:val="Normal"/>
      </w:pPr>
      <w:r>
        <w:t xml:space="preserve">89 patients undergoing pharmaco-resistant epilepsy at Duke University Medical Center (DUMC) participated in the study ([sex distribution]; age range, [range] years; mean ± s.d., [mean ± s.d.] years). Participants were [language background], with [handedness distribution]. Intracranial electrodes were implanted for [clinical indication], and electrode placement was determined by [placement criteria]. Participants were included if [inclusion criteria] and excluded if [exclusion criteria]. Of the overall cohort, [N] participants had insular electrode coverage. The samples included in individual analyses were determined by [analysis-specific eligibility criteria].</w:t>
      </w:r>
    </w:p>
    <w:p>
      <w:pPr>
        <w:pStyle w:val="Normal"/>
      </w:pPr>
      <w:r>
        <w:t xml:space="preserve">All patients were written informed consent was obtained in accordance with the Institutional Review Boards at the DUMC.</w:t>
      </w:r>
    </w:p>
    <w:p>
      <w:pPr>
        <w:pStyle w:val="Normal"/>
        <w:keepNext/>
        <w:spacing w:before="240" w:after="120"/>
      </w:pPr>
      <w:r>
        <w:rPr>
          <w:b/>
        </w:rPr>
        <w:t xml:space="preserve">2.     Speech task</w:t>
      </w:r>
    </w:p>
    <w:p>
      <w:pPr>
        <w:pStyle w:val="Normal"/>
        <w:keepNext/>
        <w:spacing w:before="240" w:after="120"/>
      </w:pPr>
      <w:r>
        <w:rPr>
          <w:b/>
        </w:rPr>
        <w:t xml:space="preserve">3.     Neural recording and preprocessing</w:t>
      </w:r>
    </w:p>
    <w:p>
      <w:pPr>
        <w:pStyle w:val="Normal"/>
      </w:pPr>
      <w:r>
        <w:t xml:space="preserve">Intracranial EEG signals were acquired using [recording system and manufacturer] at a sampling rate of [sampling rate] Hz. Speech responses were recorded using [audio recording system], and task events and audio recordings were synchronized with neural signals using [synchronization procedure]. Channels identified as unsuitable for analysis according to [channel exclusion criteria] were excluded. Line noise was attenuated using notch filters at 60, 120 and 240 Hz. Muscle channel are been hand picked. Signals were re-referenced using bipolar derivations between adjacent contacts along each electrode shaft.</w:t>
      </w:r>
    </w:p>
    <w:p>
      <w:pPr>
        <w:pStyle w:val="Normal"/>
      </w:pPr>
      <w:r>
        <w:t xml:space="preserve">High-gamma activity was extracted over 70–200 Hz using a filter bank and Hilbert transformation. Amplitude envelopes were computed within sub-bands and summed to obtain a high-gamma amplitude time series for each bipolar channel. Task epochs were extracted with an additional 0.5 s on either side of each analysis interval to reduce edge effects during filtering. The additional samples were subsequently removed, and high-gamma amplitude was resampled to 128 Hz.</w:t>
      </w:r>
    </w:p>
    <w:p>
      <w:pPr>
        <w:pStyle w:val="Normal"/>
      </w:pPr>
      <w:r>
        <w:t xml:space="preserve">Neural activity was aligned to stimulus onset, stimulus offset (delay), and articulation onset, as appropriate for each analysis. High-gamma amplitude was standardized separately for each channel using the mean and standard deviation calculated across trials and time points within a 500-ms baseline preceding the condition-specific trial-start or instruction event. The same baseline estimates were applied to all task phases within a condition. After standardization, trial–channel epochs were marked as missing if their maximum absolute amplitude exceeded the channel-wise mean absolute amplitude by more than 15 standard deviations, calculated across trials and time points. This procedure excluded the affected channel’s entire epoch while retaining data from other channels on the same trial.</w:t>
      </w:r>
    </w:p>
    <w:p>
      <w:pPr>
        <w:pStyle w:val="Normal"/>
      </w:pPr>
      <w:r>
        <w:t xml:space="preserve">Task-related increases in high-gamma amplitude were assessed relative to baseline using one-sided, cluster-based permutation tests with 5,000 permutations. Tests were performed on amplitude envelopes after z-score normalization for each electrode. Adjacent time points exceeding the cluster-forming threshold of [threshold] were grouped into temporal clusters. Cluster significance was evaluated against the permutation distribution of the maximum cluster duration, using a cluster-level threshold of [threshold]. For preprocessing-level channel selection, recording sites were retained if at least one time point within the specified phase window satisfied both the cluster criterion and a pointwise P &lt; 0.05.</w:t>
      </w:r>
    </w:p>
    <w:p>
      <w:pPr>
        <w:pStyle w:val="Normal"/>
        <w:keepNext/>
        <w:spacing w:before="240" w:after="120"/>
      </w:pPr>
      <w:r>
        <w:rPr>
          <w:b/>
        </w:rPr>
        <w:t xml:space="preserve">4.     Electrode localization and anatomical labeling</w:t>
      </w:r>
    </w:p>
    <w:p>
      <w:pPr>
        <w:pStyle w:val="Normal"/>
      </w:pPr>
      <w:r>
        <w:t xml:space="preserve">Individual electrode contacts were localized using [imaging modalities, registration procedure and localization software]. Cortical surfaces were reconstructed from each participant’s structural MRI using FreeSurfer [version]. Contact coordinates were represented in native anatomical space, and each bipolar recording site was assigned the midpoint between its two constituent contacts.</w:t>
      </w:r>
    </w:p>
    <w:p>
      <w:pPr>
        <w:pStyle w:val="Normal"/>
      </w:pPr>
      <w:r>
        <w:t xml:space="preserve">Anatomical labels were obtained from participant-specific volumetric segmentations generated by propagating the Hammersmith atlas database into individual anatomical space using multi-atlas registration and label fusion (MAPER). Labels were sampled at both constituent contacts and the midpoint of each bipolar pair. Only electrode pairs with both insula labels are preserved. Regional assignments were determined from the corresponding anatomical labels, excluding white-matter, unknown labels from the regional consensus. Pairs with a single remaining regional assignment were classified as unmixed, whereas pairs spanning multiple anatomical regions were classified as mixed.</w:t>
      </w:r>
    </w:p>
    <w:p>
      <w:pPr>
        <w:pStyle w:val="Normal"/>
      </w:pPr>
      <w:r>
        <w:t xml:space="preserve">For group-level visualization, recording-site coordinates were transformed to the common cvs_avg35_inMNI152 template using [registration procedure and software version]. Surface projections were used for visualization, while anatomical assignments were retained from the participant-specific volumetric segmentations.</w:t>
      </w:r>
    </w:p>
    <w:p>
      <w:pPr>
        <w:pStyle w:val="Normal"/>
        <w:keepNext/>
        <w:spacing w:before="240" w:after="120"/>
      </w:pPr>
      <w:r>
        <w:rPr>
          <w:b/>
        </w:rPr>
        <w:t xml:space="preserve">5.     Data-driven decomposition and spatial organization</w:t>
      </w:r>
    </w:p>
    <w:p>
      <w:pPr>
        <w:pStyle w:val="Normal"/>
      </w:pPr>
      <w:r>
        <w:t xml:space="preserve">We used non-negative matrix factorization (NMF) to identify temporal response components in insular high-gamma activity. Only data from repetition conditions at insular recording sites exhibiting significant high-gamma responses were included. For each site, activity was averaged across trials and tasks. Responses were aligned to stimulus onset, stimulus offset and articulation onset, using windows of 0–0.6 s, 0–1 s and 0–1 s, respectively. These windows were chosen to approximate the average durations of the stimulus, delay and utterance. The three epochs were concatenated along the time dimension to form a channel-by-time matrix for NMF.</w:t>
      </w:r>
    </w:p>
    <w:p>
      <w:pPr>
        <w:pStyle w:val="Normal"/>
      </w:pPr>
      <w:r>
        <w:t xml:space="preserve">Before decomposition, negative values were set to zero and normalized to unit Euclidean norm, emphasizing temporal response shape rather than absolute amplitude. The resulting matrix was factorized into a non-negative channel-by-component weight matrix and a non-negative component-by-time matrix. NMF was fitted using coordinate descent to minimize squared reconstruction error. We retained the solution with the lowest reconstruction error across 20 initializations.</w:t>
      </w:r>
    </w:p>
    <w:p>
      <w:pPr>
        <w:pStyle w:val="Normal"/>
      </w:pPr>
      <w:r>
        <w:t xml:space="preserve">The number of components was selected using consensus clustering across repeated subsamples of recording sites. For each candidate rank from two to six, we fitted NMF to 200 subsamples, each containing 80% of sites selected without replacement. Consensus matrices quantified how often pairs of sites were assigned to the same component when sampled together. We applied average-linkage hierarchical clustering to the corresponding dissimilarity matrices and selected the rank with the highest cophenetic correlation, yielding three components.</w:t>
      </w:r>
    </w:p>
    <w:p>
      <w:pPr>
        <w:pStyle w:val="Normal"/>
      </w:pPr>
      <w:r>
        <w:t xml:space="preserve">The three components were termed sensory, sustained and motor based on their temporal waveforms, reflecting stimulus-related responses, activity persisting through the delay, and responses associated with speech production, respectively. To visualize their spatial distributions, electrode coordinates were mapped to a common anatomical template. Component weights were displayed separately on the insular surface using Gaussian smoothing (σ = 5 mm). Vertices farther than 6 mm from the nearest recording site were masked, and maps were displayed above 40% of the maximum density within each component and hemisphere.</w:t>
      </w:r>
    </w:p>
    <w:p>
      <w:pPr>
        <w:pStyle w:val="Normal"/>
        <w:keepNext/>
        <w:spacing w:before="240" w:after="120"/>
      </w:pPr>
      <w:r>
        <w:rPr>
          <w:b/>
        </w:rPr>
        <w:t xml:space="preserve">6.     Decoding</w:t>
      </w:r>
    </w:p>
    <w:p>
      <w:pPr>
        <w:pStyle w:val="Normal"/>
      </w:pPr>
      <w:r>
        <w:t xml:space="preserve">We decoded the articulatory category of the initial phoneme during delayed repetition, distinguishing dorsal consonants (/g/, /k/), labial consonants (/b/, /p/, /v/), high vowels (/i/, /u/) and low vowels (/a/, /ae/). Analyses were performed separately for sensory, sustained and motor populations using sites with significant responses in the corresponding task phase. Features comprised all channel-by-time samples within windows of 0–0.5 s after stimulus onset, 0–0.7 s after stimulus offset and 0–1 s after articulation onset.</w:t>
      </w:r>
    </w:p>
    <w:p>
      <w:pPr>
        <w:pStyle w:val="Normal"/>
      </w:pPr>
      <w:r>
        <w:t xml:space="preserve">Classification was performed using a linear support vector machine (C = 1) with stratified fivefold cross-validation. Within each training fold, features were standardized and reduced using principal component analysis, retaining components that explained 80% of the variance. The fitted transformations and classifier were then applied to held-out trials. Performance was quantified using balanced accuracy, with a chance level of 25%. Cross-validation was repeated with 30 different partitions to assess stability; reported accuracy and row-normalized confusion matrices were obtained from the first repetition.</w:t>
      </w:r>
    </w:p>
    <w:p>
      <w:pPr>
        <w:pStyle w:val="Normal"/>
      </w:pPr>
      <w:r>
        <w:t xml:space="preserve">Statistical significance was assessed against a null distribution generated using 200 label permutations with the same fivefold partition as the first cross-validation repetition. For each permutation, training labels were shuffled within each fold and the classification pipeline was refitted, while test labels remained unchanged. Accuracy was averaged across folds to obtain one null score per permutation. One-sided P values were calculated as the number of null scores greater than or equal to the observed score, plus one, divided by 201. Decoding was considered significant at P &lt; 0.05 for each population–phase combination.</w:t>
      </w:r>
    </w:p>
    <w:p>
      <w:pPr>
        <w:pStyle w:val="Normal"/>
      </w:pPr>
      <w:r>
        <w:t xml:space="preserve">We decoded lexical status (words versus pseudowords) separately within sensory, sustained and motor populations during repetition and lexical-decision trials. Single-trial high-gamma activity was pooled across participants by matching stimulus identity and presentation number. Decoding used 300-ms sliding windows advanced in nominal 30-ms steps. Within each window, activity was averaged over five consecutive temporal bins and concatenated across recording sites. Features were standardized using the training data and classified using linear discriminant analysis with automatic covariance shrinkage. We used stratified fivefold cross-validation grouped by stimulus identity, keeping all presentations of each word or pseudoword in the same fold. Decision values were standardized within each test fold before pooling held-out predictions to calculate the area under the receiver operating characteristic curve (AUC; chance, 0.5). Time points denote window endpoints.</w:t>
      </w:r>
    </w:p>
    <w:p>
      <w:pPr>
        <w:pStyle w:val="Normal"/>
      </w:pPr>
      <w:r>
        <w:t xml:space="preserve">To assess cross-task generalization during the delay, classifiers were trained on repetition trials and tested on lexical-decision trials using recording sites and stimulus presentations shared between conditions. The same stimulus-grouped cross-validation scheme ensured that test items were absent from the training set. Classifiers fitted at each training time window were evaluated at every test time window, yielding a training-time-by-test-time AUC matrix.</w:t>
      </w:r>
    </w:p>
    <w:p>
      <w:pPr>
        <w:pStyle w:val="Normal"/>
      </w:pPr>
      <w:r>
        <w:t xml:space="preserve">Null distributions were generated using 5,000 permutations of lexical-status labels across unique stimulus items, with all presentations of an item retaining the same permuted label. Cross-validation partitions were held fixed, and classifiers were refitted and evaluated using the permuted labels. For cross-task decoding, the same label permutation was applied to both conditions. Pointwise significance was assessed using the proportion of null AUC values at least as large as the observed value, with a plus-one correction. Adjacent points with P &lt; 0.05 formed candidate clusters. Sliding-window results were corrected using the maximum temporal cluster length in each permutation. Cross-task matrices used two-dimensional clusters, including diagonal adjacency, with cluster mass defined as the sum of AUC above 0.5. Observed clusters were compared with the corresponding maximum-cluster null distributions at P &lt; 0.05. Correction was performed separately for each population–phase–condition time course or population-specific cross-task matrix.</w:t>
      </w:r>
    </w:p>
    <w:p>
      <w:pPr>
        <w:pStyle w:val="Normal"/>
        <w:keepNext/>
        <w:spacing w:before="240" w:after="120"/>
      </w:pPr>
      <w:r>
        <w:rPr>
          <w:b/>
        </w:rPr>
        <w:t xml:space="preserve">7.     Predict reaction time</w:t>
      </w:r>
    </w:p>
    <w:p>
      <w:pPr>
        <w:pStyle w:val="Normal"/>
      </w:pPr>
      <w:r>
        <w:t xml:space="preserve">Reaction time (RT) was defined as the interval between the go cue and articulation onset. Trials RTs shorter than 50 ms or longer than 2s were excluded, and RTs were natural-log-transformed before analysis. Ridge regression models were fitted separately for each participant, task and insular recording site using repetition trials. Features comprised high-gamma amplitude samples within approximately 200-ms windows advanced by three samples at 128 Hz (23.4 ms). Analyses were performed on activity aligned to stimulus offset, the go cue and articulation onset.</w:t>
      </w:r>
    </w:p>
    <w:p>
      <w:pPr>
        <w:pStyle w:val="Normal"/>
      </w:pPr>
      <w:r>
        <w:t xml:space="preserve">Prediction was evaluated using cross-validation grouped by stimulus identity, keeping all presentations of an item in the same fold. The outer cross-validation used up to ten folds, depending on the number of available items. Missing features were replaced with training-set medians, and features were standardized using the outer training set. Regularization strength was selected from ten logarithmically spaced values between 10⁻³ and 10³ using up to five inner, item-grouped folds. Performance was quantified as the Pearson correlation between observed log RTs and predictions pooled across held-out trials.</w:t>
      </w:r>
    </w:p>
    <w:p>
      <w:pPr>
        <w:pStyle w:val="Normal"/>
      </w:pPr>
      <w:r>
        <w:t xml:space="preserve">Null distributions were generated using 1,000 permutations of trial-level RTs within each outer training fold. Test RTs and cross-validation partitions remained unchanged, and regularization was reselected for each permutation. Adjacent windows with pointwise P ≤ 0.05 formed temporal clusters. Cluster significance was evaluated against the maximum cluster length across all tested sites and epochs within each participant and task. Clusters with corrected P ≤ 0.05 and positive prediction correlations were considered significant.</w:t>
      </w:r>
    </w:p>
    <w:p>
      <w:pPr>
        <w:pStyle w:val="Normal"/>
      </w:pPr>
      <w:r>
        <w:t xml:space="preserve">To characterize the direction of the HGA–RT relationship, we selected, for each site and task, the significantly predictive go-aligned window with the highest prediction correlation among windows beginning before the go cue. Mean HGA within this window was correlated with log RT across trials. Electrode-level correlations were summarized by their median within each participant, task and functional population, then across tasks within each participant, and assessed against zero using a one-sided Wilcoxon signed-rank test. For trial-level displays, window-averaged HGA was standardized within each electrode and averaged across selected electrodes. A complementary permutation analysis shuffled RTs within each participant and task 5,000 times and compared the observed one-sample t statistic of participant-level correlations with its lower-tail null distribution. Selected sites and windows remained fixed during this analysis. Fast and slow trials were defined by a median split of RT within each participant, task and functional population.</w:t>
      </w:r>
    </w:p>
    <w:p>
      <w:pPr>
        <w:pStyle w:val="Normal"/>
        <w:keepNext/>
        <w:spacing w:before="240" w:after="120"/>
      </w:pPr>
      <w:r>
        <w:rPr>
          <w:b/>
        </w:rPr>
        <w:t xml:space="preserve">8.     Whole-brain projection of insular temporal profiles</w:t>
      </w:r>
    </w:p>
    <w:p>
      <w:pPr>
        <w:pStyle w:val="Normal"/>
      </w:pPr>
      <w:r>
        <w:t xml:space="preserve">To examine how insular temporal profiles were expressed across the brain, we fitted high-gamma activity at speech-responsive recording sites using the three temporal components identified by insular NMF. Trial- and task-averaged responses from repetition conditions were concatenated using the same temporal windows and preprocessing as the insular decomposition. The temporal profiles were held fixed, and non-negative least squares was used to estimate their contributions to each electrode’s activity, minimizing the squared reconstruction error. This yielded three non-negative weights per electrode without re-estimating the temporal components.</w:t>
      </w:r>
    </w:p>
    <w:p>
      <w:pPr>
        <w:pStyle w:val="Normal"/>
      </w:pPr>
      <w:r>
        <w:t xml:space="preserve">For spatial visualization, projection weights were normalized within each electrode and weighted by the fraction of signal energy explained by the reconstruction. Component specificity was defined relative to the larger contribution of the other two components. Specificity values were mapped onto a common cortical surface using Gaussian spatial averaging within participants, followed by equal-weight averaging across participants. Maps excluded electrodes used to derive the insular templates and displayed regions preferentially expressing each temporal profile. Regional distributions were summarized by electrode counts within these territories.</w:t>
      </w:r>
    </w:p>
    <w:sectPr>
      <w:headerReference w:type="default" r:id="rIdHeader"/>
      <w:footerReference w:type="default" r:id="rIdFooter"/>
      <w:pgSz w:w="12240" w:h="15840"/>
      <w:pgMar w:top="1440" w:right="1440" w:bottom="1440" w:left="1440" w:header="720" w:footer="720" w:gutter="0"/>
    </w:sectPr>
  </w:body>
</w:document>
</file>

<file path=word/footer1.xml><?xml version="1.0" encoding="utf-8"?>
<w:ftr xmlns:w="http://schemas.openxmlformats.org/wordprocessingml/2006/main">
  <w:p>
    <w:pPr>
      <w:jc w:val="center"/>
      <w:spacing w:after="0" w:line="240" w:lineRule="auto"/>
    </w:pPr>
    <w:r>
      <w:rPr>
        <w:sz w:val="18"/>
        <w:color w:val="666666"/>
      </w:rPr>
      <w:t xml:space="preserve">Page </w:t>
    </w:r>
    <w:fldSimple w:instr=" PAGE ">
      <w:r>
        <w:rPr>
          <w:sz w:val="18"/>
          <w:color w:val="666666"/>
        </w:rPr>
        <w:t xml:space="preserve">1</w:t>
      </w:r>
    </w:fldSimple>
  </w:p>
</w:ftr>
</file>

<file path=word/header1.xml><?xml version="1.0" encoding="utf-8"?>
<w:hdr xmlns:w="http://schemas.openxmlformats.org/wordprocessingml/2006/main">
  <w:p>
    <w:pPr>
      <w:spacing w:after="0" w:line="240" w:lineRule="auto"/>
    </w:pPr>
    <w:r>
      <w:rPr>
        <w:sz w:val="18"/>
        <w:color w:val="666666"/>
      </w:rPr>
      <w:t xml:space="preserve">Manuscript | v002 | 2026-10-15</w:t>
    </w:r>
  </w:p>
</w:hdr>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after="160" w:line="360" w:lineRule="auto"/>
        <w:widowControl/>
      </w:pPr>
    </w:pPrDefault>
  </w:docDefaults>
  <w:style w:type="paragraph" w:default="1" w:styleId="Normal">
    <w:name w:val="Normal"/>
  </w:style>
  <w:style w:type="paragraph" w:styleId="Heading1">
    <w:name w:val="heading 1"/>
    <w:basedOn w:val="Normal"/>
    <w:next w:val="Normal"/>
    <w:qFormat/>
    <w:pPr>
      <w:keepNext/>
      <w:spacing w:before="0" w:after="240"/>
      <w:outlineLvl w:val="0"/>
    </w:pPr>
    <w:rPr>
      <w:b/>
      <w:sz w:val="28"/>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

<file path=docProps/app.xml><?xml version="1.0" encoding="utf-8"?>
<Properties xmlns="http://schemas.openxmlformats.org/officeDocument/2006/extended-properties">
  <Application>Manuscript document export</Application>
</Properties>
</file>

<file path=docProps/core.xml><?xml version="1.0" encoding="utf-8"?>
<cp:coreProperties xmlns:cp="http://schemas.openxmlformats.org/package/2006/metadata/core-properties" xmlns:dc="http://purl.org/dc/elements/1.1/">
  <dc:title>Manuscript — Introduction and Methods</dc:title>
  <dc:subject>Version v002 — 2026-10-15</dc:subject>
  <dc:description>Author-provided Methods snapshot added; Introduction retained.</dc:description>
  <cp:revision>2</cp:revision>
  <dc:language>en-US</dc:language>
</cp:coreProperties>
</file>