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r="http://schemas.openxmlformats.org/officeDocument/2006/relationships" xmlns:w="http://schemas.openxmlformats.org/wordprocessingml/2006/main">
  <w:body>
    <w:p>
      <w:pPr>
        <w:pStyle w:val="Heading1"/>
      </w:pPr>
      <w:r>
        <w:t xml:space="preserve">Introduction</w:t>
      </w:r>
    </w:p>
    <w:p>
      <w:pPr>
        <w:pStyle w:val="Normal"/>
      </w:pPr>
      <w:r>
        <w:rPr>
          <w:b/>
        </w:rPr>
        <w:t xml:space="preserve">Human speech depends on coordinated activity across a distributed brain network. Within this network, the insula has long been implicated by clinical and physiological evidence</w:t>
      </w:r>
      <w:r>
        <w:t xml:space="preserve">. lesions and electrical stimulation to can disrupt speech, while neuroimaging and intracranial recordings reveal its engagement across a range of speech tasks. Despite this extensive evidence, studies have assigned the insula diverse from speech perception to motor planning and sometimes conflicting functional roles, and some even denying the insular contribution. </w:t>
      </w:r>
      <w:r>
        <w:rPr>
          <w:b/>
        </w:rPr>
        <w:t xml:space="preserve">How these speech contributions are organized within the human insula remains unresolved.</w:t>
      </w:r>
    </w:p>
    <w:p>
      <w:pPr>
        <w:pStyle w:val="Normal"/>
      </w:pPr>
      <w:r>
        <w:rPr>
          <w:b/>
        </w:rPr>
        <w:t xml:space="preserve">Studies of the insula have yielded diverse and sometimes conflicting accounts of its contribution to speech</w:t>
      </w:r>
      <w:r>
        <w:t xml:space="preserve">. Clinical and neuroimaging evidence has long supported a role in speech motor control, including associations between insular damage and motor speech disorders, stimulation-induced speech arrest, and activation during articulatory tasks. Responses to heard and self-generated speech have also motivated accounts emphasizing sensory feedback monitoring. Neuroimaging studies further implicate the insula in verbal working memory, showing sensitivity to phonological memory load and activity during the maintenance and manipulation of verbal information. However, specific functional interpretations remain contested. Limited pre-articulatory activity and a lack of sensitivity to articulatory complexity in some studies have challenged the proposed role of the insula in articulatory planning. These findings leave unresolved how the proposed motor, sensory and cognitive contributions relate to one another within the insula. Understanding how these contributions are organized across insular populations and expressed as speech unfolds is central to developing a coherent account of insular function.</w:t>
      </w:r>
    </w:p>
    <w:p>
      <w:pPr>
        <w:pStyle w:val="Normal"/>
      </w:pPr>
      <w:r>
        <w:rPr>
          <w:b/>
        </w:rPr>
        <w:t xml:space="preserve">To determine how speech-related functions are organized within the human insula, we obtained large-scale intracranial EEG recordings during a battery of speech and language tasks</w:t>
      </w:r>
      <w:r>
        <w:t xml:space="preserve">. These tasks separated sensory input from speech output and varied input modality and response demands, allowing us to examine insular responses across processing stages and behavioral contexts. Using a data-driven decomposition approach, we identified sensory, sustained and motor components with distinct temporal dynamics and partially overlapping spatial distributions. These components differed in their sensitivity to input modality and behavioral context. Complementary analyses linked this functional differentiation to speech-related representations, behavior and activity in the broader speech network. Together, these findings reveal a spatially differentiated functional architecture underlying the insula’s contributions across multiple stages of speech.</w:t>
      </w:r>
    </w:p>
    <w:sectPr>
      <w:headerReference w:type="default" r:id="rIdHeader"/>
      <w:footerReference w:type="default" r:id="rIdFooter"/>
      <w:pgSz w:w="12240" w:h="15840"/>
      <w:pgMar w:top="1440" w:right="1440" w:bottom="1440" w:left="1440" w:header="720" w:footer="720" w:gutter="0"/>
    </w:sectPr>
  </w:body>
</w:document>
</file>

<file path=word/footer1.xml><?xml version="1.0" encoding="utf-8"?>
<w:ftr xmlns:w="http://schemas.openxmlformats.org/wordprocessingml/2006/main">
  <w:p>
    <w:pPr>
      <w:jc w:val="center"/>
      <w:spacing w:after="0" w:line="240" w:lineRule="auto"/>
    </w:pPr>
    <w:r>
      <w:rPr>
        <w:sz w:val="18"/>
        <w:color w:val="666666"/>
      </w:rPr>
      <w:t xml:space="preserve">Page </w:t>
    </w:r>
    <w:fldSimple w:instr=" PAGE ">
      <w:r>
        <w:rPr>
          <w:sz w:val="18"/>
          <w:color w:val="666666"/>
        </w:rPr>
        <w:t xml:space="preserve">1</w:t>
      </w:r>
    </w:fldSimple>
  </w:p>
</w:ftr>
</file>

<file path=word/header1.xml><?xml version="1.0" encoding="utf-8"?>
<w:hdr xmlns:w="http://schemas.openxmlformats.org/wordprocessingml/2006/main">
  <w:p>
    <w:pPr>
      <w:spacing w:after="0" w:line="240" w:lineRule="auto"/>
    </w:pPr>
    <w:r>
      <w:rPr>
        <w:sz w:val="18"/>
        <w:color w:val="666666"/>
      </w:rPr>
      <w:t xml:space="preserve">Manuscript | v001 | 2026-10-14</w:t>
    </w:r>
  </w:p>
</w:hdr>
</file>

<file path=word/styles.xml><?xml version="1.0" encoding="utf-8"?>
<w:styles xmlns:w="http://schemas.openxmlformats.org/wordprocessingml/2006/main">
  <w:docDefaults>
    <w:rPrDefault>
      <w:rPr>
        <w:rFonts w:ascii="Times New Roman" w:hAnsi="Times New Roman" w:cs="Times New Roman"/>
        <w:sz w:val="24"/>
        <w:szCs w:val="24"/>
        <w:lang w:val="en-US"/>
      </w:rPr>
    </w:rPrDefault>
    <w:pPrDefault>
      <w:pPr>
        <w:spacing w:after="160" w:line="360" w:lineRule="auto"/>
        <w:widowControl/>
      </w:pPr>
    </w:pPrDefault>
  </w:docDefaults>
  <w:style w:type="paragraph" w:default="1" w:styleId="Normal">
    <w:name w:val="Normal"/>
  </w:style>
  <w:style w:type="paragraph" w:styleId="Heading1">
    <w:name w:val="heading 1"/>
    <w:basedOn w:val="Normal"/>
    <w:next w:val="Normal"/>
    <w:qFormat/>
    <w:pPr>
      <w:keepNext/>
      <w:spacing w:before="0" w:after="240"/>
      <w:outlineLvl w:val="0"/>
    </w:pPr>
    <w:rPr>
      <w:b/>
      <w:sz w:val="28"/>
    </w:rPr>
  </w:style>
</w:styles>
</file>

<file path=word/_rels/document.xml.rels><?xml version="1.0" encoding="UTF-8"?><Relationships xmlns="http://schemas.openxmlformats.org/package/2006/relationships"><Relationship Id="rIdStyles" Type="http://schemas.openxmlformats.org/officeDocument/2006/relationships/styles" Target="styles.xml"/><Relationship Id="rIdHeader" Type="http://schemas.openxmlformats.org/officeDocument/2006/relationships/header" Target="header1.xml"/><Relationship Id="rIdFooter" Type="http://schemas.openxmlformats.org/officeDocument/2006/relationships/footer" Target="footer1.xml"/></Relationships>
</file>

<file path=docProps/app.xml><?xml version="1.0" encoding="utf-8"?>
<Properties xmlns="http://schemas.openxmlformats.org/officeDocument/2006/extended-properties">
  <Application>Manuscript document export</Application>
</Properties>
</file>

<file path=docProps/core.xml><?xml version="1.0" encoding="utf-8"?>
<cp:coreProperties xmlns:cp="http://schemas.openxmlformats.org/package/2006/metadata/core-properties" xmlns:dc="http://purl.org/dc/elements/1.1/">
  <dc:title>Manuscript — Introduction</dc:title>
  <dc:subject>Version v001 — 2026-10-14</dc:subject>
  <dc:description>Author-provided introduction baseline; wording and bold emphasis preserved.</dc:description>
  <cp:revision>1</cp:revision>
  <dc:language>en-US</dc:language>
</cp:coreProperties>
</file>