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目标：</w:t>
      </w:r>
    </w:p>
    <w:p>
      <w:pPr>
        <w:ind w:firstLine="420"/>
        <w:jc w:val="both"/>
        <w:rPr>
          <w:rFonts w:hint="eastAsia" w:ascii="宋体" w:hAnsi="宋体" w:cs="宋体"/>
          <w:szCs w:val="21"/>
          <w:lang w:val="en-US" w:eastAsia="zh-CN"/>
        </w:rPr>
      </w:pPr>
      <w:r>
        <w:rPr>
          <w:rFonts w:hint="eastAsia" w:ascii="宋体" w:hAnsi="宋体" w:cs="宋体"/>
          <w:szCs w:val="21"/>
          <w:lang w:val="en-US" w:eastAsia="zh-CN"/>
        </w:rPr>
        <w:t>本项目是基于虚拟现实技术、3D建模等方面技术，使用户通过VR设备就可以足不出户的体验到新疆特色的风景以及各种名胜古迹，用户以游戏的方式体验到新疆的四时变幻以及新疆独有的娱乐方式，也可以实现多人联机，使用户可以和自己的家人或朋友共同体验新疆风情。</w:t>
      </w:r>
    </w:p>
    <w:p>
      <w:pPr>
        <w:pStyle w:val="2"/>
        <w:widowControl/>
        <w:numPr>
          <w:ilvl w:val="0"/>
          <w:numId w:val="0"/>
        </w:numPr>
        <w:spacing w:before="0" w:beforeAutospacing="0" w:after="0" w:afterAutospacing="0" w:line="0" w:lineRule="atLeast"/>
        <w:ind w:firstLine="420" w:firstLineChars="200"/>
        <w:jc w:val="both"/>
        <w:rPr>
          <w:rFonts w:hint="eastAsia"/>
          <w:color w:val="auto"/>
          <w:position w:val="-30"/>
          <w:sz w:val="21"/>
          <w:szCs w:val="21"/>
          <w:lang w:val="en-US" w:eastAsia="zh-CN"/>
        </w:rPr>
      </w:pPr>
      <w:r>
        <w:rPr>
          <w:rFonts w:hint="eastAsia"/>
          <w:color w:val="auto"/>
          <w:position w:val="-30"/>
          <w:sz w:val="21"/>
          <w:szCs w:val="21"/>
          <w:lang w:val="en-US" w:eastAsia="zh-CN"/>
        </w:rPr>
        <w:t>研究目标从实际需求出发，设计并开发一个基于虚拟现实的新疆文旅游戏，设计一款与当今时代相适应的虚拟现实游戏，将虚拟现实与文化旅游相结合，用户通过这个游戏，切身体会到新疆当地的风景文化，实现足不出户就能感受到新疆特色。</w:t>
      </w:r>
    </w:p>
    <w:p>
      <w:pPr>
        <w:pStyle w:val="2"/>
        <w:numPr>
          <w:ilvl w:val="0"/>
          <w:numId w:val="0"/>
        </w:numPr>
        <w:spacing w:before="0" w:beforeAutospacing="0" w:after="0" w:afterAutospacing="0" w:line="0" w:lineRule="atLeast"/>
        <w:ind w:firstLine="420" w:firstLineChars="200"/>
        <w:jc w:val="both"/>
        <w:rPr>
          <w:rFonts w:hint="eastAsia"/>
          <w:color w:val="auto"/>
          <w:position w:val="-30"/>
          <w:sz w:val="21"/>
          <w:szCs w:val="21"/>
          <w:lang w:val="en-US" w:eastAsia="zh-CN"/>
        </w:rPr>
      </w:pPr>
      <w:r>
        <w:rPr>
          <w:rFonts w:hint="eastAsia"/>
          <w:color w:val="auto"/>
          <w:position w:val="-30"/>
          <w:sz w:val="21"/>
          <w:szCs w:val="21"/>
          <w:lang w:val="en-US" w:eastAsia="zh-CN"/>
        </w:rPr>
        <w:t>本项目立足于在虚拟环境中旅游的同时给用户带来更多的娱乐性，给喜欢旅行的朋友提供一个精神娱乐平台。</w:t>
      </w:r>
    </w:p>
    <w:p>
      <w:pPr>
        <w:ind w:firstLine="420" w:firstLineChars="0"/>
        <w:rPr>
          <w:rFonts w:hint="eastAsia"/>
          <w:lang w:val="en-US" w:eastAsia="zh-CN"/>
        </w:rPr>
      </w:pPr>
    </w:p>
    <w:p>
      <w:pPr>
        <w:rPr>
          <w:rFonts w:hint="eastAsia"/>
          <w:lang w:val="en-US" w:eastAsia="zh-CN"/>
        </w:rPr>
      </w:pPr>
      <w:r>
        <w:rPr>
          <w:rFonts w:hint="eastAsia"/>
          <w:lang w:val="en-US" w:eastAsia="zh-CN"/>
        </w:rPr>
        <w:t>社会可行性：</w:t>
      </w:r>
    </w:p>
    <w:p>
      <w:pPr>
        <w:numPr>
          <w:ilvl w:val="0"/>
          <w:numId w:val="0"/>
        </w:numPr>
        <w:snapToGrid w:val="0"/>
        <w:ind w:firstLine="420" w:firstLineChars="200"/>
        <w:rPr>
          <w:rFonts w:hint="default"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在《中华人民共和国国民经济和社会发展第十四个五年规划和2035年远景目标纲要》（简称“十四五规划”）中，“虚拟现实和增强现实”被列入到数字经济重点产业。“十四五规划”提出以数字化转型整体驱动生产方式、生活方式和治理方式变革，催生新产业新业态新模式，壮大经济发展新引擎。为提升我国虚拟现实产业核心技术和创新能力，激发产业服务体系创新活力，加快虚拟现实与行业应用融合发展，构建完善虚拟现实产业创新发展生态，工信部、教育部、文化和旅游部、国家广播电视总局、国家体育总局联合发布了《虚拟现实与行业应用融合发展行动计划（2022-2026）》，2021年5月发布的《关于开展出版业科技与标准创新示范项目试点工作的通知》中指出了要加强虚拟现实技术在出版领域的</w:t>
      </w:r>
      <w:r>
        <w:rPr>
          <w:rFonts w:hint="eastAsia" w:ascii="宋体" w:hAnsi="宋体" w:cs="宋体"/>
          <w:color w:val="auto"/>
          <w:kern w:val="0"/>
          <w:position w:val="-30"/>
          <w:sz w:val="21"/>
          <w:szCs w:val="21"/>
          <w:lang w:val="en-US" w:eastAsia="zh-CN" w:bidi="ar-SA"/>
        </w:rPr>
        <w:t>创新</w:t>
      </w:r>
    </w:p>
    <w:p>
      <w:pPr>
        <w:numPr>
          <w:ilvl w:val="0"/>
          <w:numId w:val="0"/>
        </w:numPr>
        <w:snapToGrid w:val="0"/>
        <w:rPr>
          <w:rFonts w:hint="default"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应用和研究，推动了虚拟现实行业进一步发展</w:t>
      </w:r>
    </w:p>
    <w:p>
      <w:pPr>
        <w:numPr>
          <w:ilvl w:val="0"/>
          <w:numId w:val="0"/>
        </w:numPr>
        <w:snapToGrid w:val="0"/>
        <w:ind w:firstLine="420" w:firstLineChars="200"/>
        <w:rPr>
          <w:rFonts w:hint="eastAsia"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疫情虽然过去，但是疫情给我们带来的影响并没有完全消除。疫情的到来，给各行各业都带来了一定的影响，其中旅游业也受到了巨大的冲击。另外，随着社会的快速发展，人们的生活节奏越来越快，工作压力和工作时间不断增加，人们更想要追求精神上的愉悦，其中旅游是必不可少的一项。另外，有一部分人有时间有精力外出旅游，但是却因为一些客观的原因使得不得不放弃旅游，例如：交通的不便利，更多的时间浪费在了路上；旅途中人群的拥挤，使得旅游体验感极差……以上多重原因，直接导致了目前更多的人不愿意出门旅游。为了打破传统的旅游观念和旅游交通方式，让用户能够获得更好的旅游体验，我们通过“虚拟现实+旅游”的方式来实现让用户足不出户就可以体验到实地的风景，加之，以游戏的展现方式，不仅可以使用户切身感受到优美的风景，更是为旅途增添了一定的趣味性。</w:t>
      </w:r>
    </w:p>
    <w:p>
      <w:pPr>
        <w:numPr>
          <w:ilvl w:val="0"/>
          <w:numId w:val="0"/>
        </w:numPr>
        <w:snapToGrid w:val="0"/>
        <w:ind w:firstLine="420" w:firstLineChars="200"/>
        <w:rPr>
          <w:rFonts w:hint="eastAsia" w:ascii="宋体" w:hAnsi="宋体" w:cs="宋体"/>
          <w:color w:val="auto"/>
          <w:kern w:val="0"/>
          <w:position w:val="-30"/>
          <w:sz w:val="21"/>
          <w:szCs w:val="21"/>
          <w:lang w:val="en-US" w:eastAsia="zh-CN" w:bidi="ar-SA"/>
        </w:rPr>
      </w:pPr>
      <w:r>
        <w:rPr>
          <w:rFonts w:hint="eastAsia" w:ascii="宋体" w:hAnsi="宋体" w:cs="宋体"/>
          <w:color w:val="auto"/>
          <w:kern w:val="0"/>
          <w:position w:val="-30"/>
          <w:sz w:val="21"/>
          <w:szCs w:val="21"/>
          <w:lang w:val="en-US" w:eastAsia="zh-CN" w:bidi="ar-SA"/>
        </w:rPr>
        <w:t>新疆维吾尔</w:t>
      </w:r>
      <w:r>
        <w:rPr>
          <w:rFonts w:hint="eastAsia" w:ascii="宋体" w:hAnsi="宋体" w:eastAsia="宋体" w:cs="宋体"/>
          <w:color w:val="auto"/>
          <w:kern w:val="0"/>
          <w:position w:val="-30"/>
          <w:sz w:val="21"/>
          <w:szCs w:val="21"/>
          <w:lang w:val="en-US" w:eastAsia="zh-CN" w:bidi="ar-SA"/>
        </w:rPr>
        <w:t>自治区文化和旅游厅副厅长侯汉敏说：“‘十四五’时期，新疆文化旅游事业大发展将站在新的历史起点上，我们要从中华民族伟大复兴的战略全局和世界百年未有之大变局、全面建设社会主义现代化国家新征程、满足人民群众美好生活需要的高度，注重战略性、把握规律性、体现创新性、突出实践性，高质量谋划好‘十四五’时期新疆文化和旅游发展”</w:t>
      </w:r>
      <w:r>
        <w:rPr>
          <w:rFonts w:hint="eastAsia" w:ascii="宋体" w:hAnsi="宋体" w:cs="宋体"/>
          <w:color w:val="auto"/>
          <w:kern w:val="0"/>
          <w:position w:val="-30"/>
          <w:sz w:val="21"/>
          <w:szCs w:val="21"/>
          <w:lang w:val="en-US" w:eastAsia="zh-CN" w:bidi="ar-SA"/>
        </w:rPr>
        <w:t>。另外，</w:t>
      </w:r>
      <w:r>
        <w:rPr>
          <w:rFonts w:hint="eastAsia" w:ascii="宋体" w:hAnsi="宋体" w:eastAsia="宋体" w:cs="宋体"/>
          <w:color w:val="auto"/>
          <w:kern w:val="0"/>
          <w:position w:val="-30"/>
          <w:sz w:val="21"/>
          <w:szCs w:val="21"/>
          <w:lang w:val="en-US" w:eastAsia="zh-CN" w:bidi="ar-SA"/>
        </w:rPr>
        <w:t>旅游业是推动新疆经济社会高质量发展的战略性支柱产业</w:t>
      </w:r>
      <w:r>
        <w:rPr>
          <w:rFonts w:hint="eastAsia" w:ascii="宋体" w:hAnsi="宋体" w:cs="宋体"/>
          <w:color w:val="auto"/>
          <w:kern w:val="0"/>
          <w:position w:val="-30"/>
          <w:sz w:val="21"/>
          <w:szCs w:val="21"/>
          <w:lang w:val="en-US" w:eastAsia="zh-CN" w:bidi="ar-SA"/>
        </w:rPr>
        <w:t>。通过VR沉浸式虚拟现实技术制作一款面向全疆文化旅游的虚拟现实游戏来展现新疆的文化，通过游戏的方式使更多的人了解新疆，通过这个VR游戏来做到“引客入疆”，让更多的人到线下感受更为真实的新疆，以此来的助推新疆旅游业的发展。</w:t>
      </w:r>
    </w:p>
    <w:p>
      <w:pPr>
        <w:ind w:firstLine="420" w:firstLineChars="0"/>
        <w:rPr>
          <w:rFonts w:hint="default"/>
          <w:lang w:val="en-US" w:eastAsia="zh-CN"/>
        </w:rPr>
      </w:pPr>
    </w:p>
    <w:p>
      <w:pPr>
        <w:rPr>
          <w:rFonts w:hint="eastAsia"/>
          <w:lang w:val="en-US" w:eastAsia="zh-CN"/>
        </w:rPr>
      </w:pPr>
      <w:r>
        <w:rPr>
          <w:rFonts w:hint="eastAsia"/>
          <w:lang w:val="en-US" w:eastAsia="zh-CN"/>
        </w:rPr>
        <w:t>技术：</w:t>
      </w:r>
    </w:p>
    <w:p>
      <w:pPr>
        <w:numPr>
          <w:ilvl w:val="0"/>
          <w:numId w:val="0"/>
        </w:numPr>
        <w:snapToGrid w:val="0"/>
        <w:ind w:firstLine="420" w:firstLineChars="200"/>
        <w:rPr>
          <w:rFonts w:hint="eastAsia"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所涉及的技术：由于Unity3D具有较好的跨平台的特斯能够，故本项目主要基于Unity3D进行游戏开发，其中需要使用C#语言进行脚本开发，以及Unity的一些基础和高级操作；另外，还需要具有3D建模技术，这里我们采用3DMax软件进行3D建模；还有，为了使游戏更加美观，我们还给游戏增添了动画模块，由于UE5引擎具有较好的渲染能力，所以我们采用UE5进行动画制作和渲染。</w:t>
      </w:r>
    </w:p>
    <w:p>
      <w:pPr>
        <w:numPr>
          <w:ilvl w:val="0"/>
          <w:numId w:val="0"/>
        </w:numPr>
        <w:snapToGrid w:val="0"/>
        <w:rPr>
          <w:rFonts w:hint="eastAsia" w:ascii="宋体" w:hAnsi="宋体" w:eastAsia="宋体" w:cs="宋体"/>
          <w:color w:val="auto"/>
          <w:kern w:val="0"/>
          <w:position w:val="-30"/>
          <w:sz w:val="21"/>
          <w:szCs w:val="21"/>
          <w:lang w:val="en-US" w:eastAsia="zh-CN" w:bidi="ar-SA"/>
        </w:rPr>
      </w:pPr>
    </w:p>
    <w:p>
      <w:pPr>
        <w:numPr>
          <w:ilvl w:val="0"/>
          <w:numId w:val="0"/>
        </w:numPr>
        <w:snapToGrid w:val="0"/>
        <w:rPr>
          <w:rFonts w:hint="eastAsia"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流程</w:t>
      </w:r>
    </w:p>
    <w:p>
      <w:pPr>
        <w:numPr>
          <w:ilvl w:val="0"/>
          <w:numId w:val="0"/>
        </w:numPr>
        <w:snapToGrid w:val="0"/>
        <w:rPr>
          <w:rFonts w:hint="default"/>
          <w:color w:val="auto"/>
          <w:position w:val="-30"/>
          <w:sz w:val="21"/>
          <w:szCs w:val="21"/>
          <w:lang w:val="en-US" w:eastAsia="zh-CN"/>
        </w:rPr>
      </w:pPr>
      <w:r>
        <w:rPr>
          <w:rFonts w:hint="default"/>
          <w:color w:val="auto"/>
          <w:position w:val="-30"/>
          <w:sz w:val="21"/>
          <w:szCs w:val="21"/>
          <w:lang w:val="en-US" w:eastAsia="zh-CN"/>
        </w:rPr>
        <w:drawing>
          <wp:inline distT="0" distB="0" distL="114300" distR="114300">
            <wp:extent cx="4753610" cy="2758440"/>
            <wp:effectExtent l="0" t="0" r="0" b="0"/>
            <wp:docPr id="1" name="图片 1" descr="旅游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旅游流程图"/>
                    <pic:cNvPicPr>
                      <a:picLocks noChangeAspect="1"/>
                    </pic:cNvPicPr>
                  </pic:nvPicPr>
                  <pic:blipFill>
                    <a:blip r:embed="rId4"/>
                    <a:stretch>
                      <a:fillRect/>
                    </a:stretch>
                  </pic:blipFill>
                  <pic:spPr>
                    <a:xfrm>
                      <a:off x="0" y="0"/>
                      <a:ext cx="4753610" cy="2758440"/>
                    </a:xfrm>
                    <a:prstGeom prst="rect">
                      <a:avLst/>
                    </a:prstGeom>
                    <a:noFill/>
                    <a:ln>
                      <a:noFill/>
                    </a:ln>
                  </pic:spPr>
                </pic:pic>
              </a:graphicData>
            </a:graphic>
          </wp:inline>
        </w:drawing>
      </w:r>
    </w:p>
    <w:p>
      <w:pPr>
        <w:numPr>
          <w:ilvl w:val="0"/>
          <w:numId w:val="0"/>
        </w:numPr>
        <w:snapToGrid w:val="0"/>
        <w:rPr>
          <w:rFonts w:hint="default"/>
          <w:color w:val="auto"/>
          <w:position w:val="-30"/>
          <w:sz w:val="21"/>
          <w:szCs w:val="21"/>
          <w:lang w:val="en-US" w:eastAsia="zh-CN"/>
        </w:rPr>
      </w:pPr>
    </w:p>
    <w:p>
      <w:pPr>
        <w:numPr>
          <w:ilvl w:val="0"/>
          <w:numId w:val="0"/>
        </w:numPr>
        <w:snapToGrid w:val="0"/>
        <w:rPr>
          <w:rFonts w:hint="eastAsia"/>
          <w:color w:val="auto"/>
          <w:position w:val="-30"/>
          <w:sz w:val="21"/>
          <w:szCs w:val="21"/>
          <w:lang w:val="en-US" w:eastAsia="zh-CN"/>
        </w:rPr>
      </w:pPr>
      <w:r>
        <w:rPr>
          <w:rFonts w:hint="eastAsia"/>
          <w:color w:val="auto"/>
          <w:position w:val="-30"/>
          <w:sz w:val="21"/>
          <w:szCs w:val="21"/>
          <w:lang w:val="en-US" w:eastAsia="zh-CN"/>
        </w:rPr>
        <w:t>研究进度安排：</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6"/>
        <w:gridCol w:w="6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2016" w:type="dxa"/>
            <w:noWrap w:val="0"/>
            <w:vAlign w:val="top"/>
          </w:tcPr>
          <w:p>
            <w:pPr>
              <w:pStyle w:val="3"/>
              <w:widowControl w:val="0"/>
              <w:spacing w:line="720" w:lineRule="auto"/>
              <w:jc w:val="center"/>
              <w:rPr>
                <w:rFonts w:hint="eastAsia" w:ascii="仿宋" w:hAnsi="仿宋" w:eastAsia="仿宋"/>
                <w:lang w:val="en-US" w:eastAsia="zh-CN"/>
              </w:rPr>
            </w:pPr>
            <w:r>
              <w:rPr>
                <w:rFonts w:hint="eastAsia" w:ascii="仿宋" w:hAnsi="仿宋" w:eastAsia="仿宋"/>
              </w:rPr>
              <w:t>2</w:t>
            </w:r>
            <w:r>
              <w:rPr>
                <w:rFonts w:ascii="仿宋" w:hAnsi="仿宋" w:eastAsia="仿宋"/>
              </w:rPr>
              <w:t>0</w:t>
            </w:r>
            <w:r>
              <w:rPr>
                <w:rFonts w:hint="eastAsia" w:ascii="仿宋" w:hAnsi="仿宋" w:eastAsia="仿宋"/>
              </w:rPr>
              <w:t>2</w:t>
            </w:r>
            <w:r>
              <w:rPr>
                <w:rFonts w:hint="eastAsia" w:ascii="仿宋" w:hAnsi="仿宋" w:eastAsia="仿宋"/>
                <w:lang w:val="en-US" w:eastAsia="zh-CN"/>
              </w:rPr>
              <w:t>3</w:t>
            </w:r>
            <w:r>
              <w:rPr>
                <w:rFonts w:ascii="仿宋" w:hAnsi="仿宋" w:eastAsia="仿宋"/>
              </w:rPr>
              <w:t>.03</w:t>
            </w:r>
            <w:r>
              <w:rPr>
                <w:rFonts w:hint="eastAsia" w:ascii="仿宋" w:hAnsi="仿宋" w:eastAsia="仿宋"/>
              </w:rPr>
              <w:t>-</w:t>
            </w:r>
            <w:r>
              <w:rPr>
                <w:rFonts w:ascii="仿宋" w:hAnsi="仿宋" w:eastAsia="仿宋"/>
              </w:rPr>
              <w:t>20</w:t>
            </w:r>
            <w:r>
              <w:rPr>
                <w:rFonts w:hint="eastAsia" w:ascii="仿宋" w:hAnsi="仿宋" w:eastAsia="仿宋"/>
              </w:rPr>
              <w:t>2</w:t>
            </w:r>
            <w:r>
              <w:rPr>
                <w:rFonts w:hint="eastAsia" w:ascii="仿宋" w:hAnsi="仿宋" w:eastAsia="仿宋"/>
                <w:lang w:val="en-US" w:eastAsia="zh-CN"/>
              </w:rPr>
              <w:t>3</w:t>
            </w:r>
            <w:r>
              <w:rPr>
                <w:rFonts w:ascii="仿宋" w:hAnsi="仿宋" w:eastAsia="仿宋"/>
              </w:rPr>
              <w:t>.0</w:t>
            </w:r>
            <w:r>
              <w:rPr>
                <w:rFonts w:hint="eastAsia" w:ascii="仿宋" w:hAnsi="仿宋" w:eastAsia="仿宋"/>
                <w:lang w:val="en-US" w:eastAsia="zh-CN"/>
              </w:rPr>
              <w:t>6</w:t>
            </w:r>
          </w:p>
        </w:tc>
        <w:tc>
          <w:tcPr>
            <w:tcW w:w="6280" w:type="dxa"/>
            <w:noWrap w:val="0"/>
            <w:vAlign w:val="top"/>
          </w:tcPr>
          <w:p>
            <w:pPr>
              <w:pStyle w:val="3"/>
              <w:widowControl w:val="0"/>
              <w:jc w:val="both"/>
              <w:rPr>
                <w:rFonts w:hint="default" w:ascii="仿宋" w:hAnsi="仿宋" w:eastAsia="仿宋"/>
                <w:lang w:val="en-US" w:eastAsia="zh-CN"/>
              </w:rPr>
            </w:pPr>
            <w:r>
              <w:rPr>
                <w:rFonts w:ascii="仿宋" w:hAnsi="仿宋" w:eastAsia="仿宋"/>
              </w:rPr>
              <w:t>查阅相关资料</w:t>
            </w:r>
            <w:r>
              <w:rPr>
                <w:rFonts w:hint="eastAsia" w:ascii="仿宋" w:hAnsi="仿宋" w:eastAsia="仿宋"/>
              </w:rPr>
              <w:t>，进行小组技术集中培训学习，</w:t>
            </w:r>
            <w:r>
              <w:rPr>
                <w:rFonts w:hint="eastAsia" w:ascii="仿宋" w:hAnsi="仿宋" w:eastAsia="仿宋"/>
                <w:lang w:val="en-US" w:eastAsia="zh-CN"/>
              </w:rPr>
              <w:t>学习C#语言，掌握Unity3D相关技术，学习3D建模和动画制作等相关知识。系统需求分析。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2016" w:type="dxa"/>
            <w:noWrap w:val="0"/>
            <w:vAlign w:val="top"/>
          </w:tcPr>
          <w:p>
            <w:pPr>
              <w:pStyle w:val="3"/>
              <w:widowControl w:val="0"/>
              <w:spacing w:line="360" w:lineRule="auto"/>
              <w:jc w:val="center"/>
              <w:rPr>
                <w:rFonts w:hint="default" w:ascii="仿宋" w:hAnsi="仿宋" w:eastAsia="仿宋"/>
                <w:lang w:val="en-US" w:eastAsia="zh-CN"/>
              </w:rPr>
            </w:pPr>
            <w:r>
              <w:rPr>
                <w:rFonts w:hint="eastAsia" w:ascii="仿宋" w:hAnsi="仿宋" w:eastAsia="仿宋"/>
              </w:rPr>
              <w:t>2</w:t>
            </w:r>
            <w:r>
              <w:rPr>
                <w:rFonts w:ascii="仿宋" w:hAnsi="仿宋" w:eastAsia="仿宋"/>
              </w:rPr>
              <w:t>0</w:t>
            </w:r>
            <w:r>
              <w:rPr>
                <w:rFonts w:hint="eastAsia" w:ascii="仿宋" w:hAnsi="仿宋" w:eastAsia="仿宋"/>
              </w:rPr>
              <w:t>2</w:t>
            </w:r>
            <w:r>
              <w:rPr>
                <w:rFonts w:hint="eastAsia" w:ascii="仿宋" w:hAnsi="仿宋" w:eastAsia="仿宋"/>
                <w:lang w:val="en-US" w:eastAsia="zh-CN"/>
              </w:rPr>
              <w:t>3</w:t>
            </w:r>
            <w:r>
              <w:rPr>
                <w:rFonts w:hint="eastAsia" w:ascii="仿宋" w:hAnsi="仿宋" w:eastAsia="仿宋"/>
              </w:rPr>
              <w:t>.0</w:t>
            </w:r>
            <w:r>
              <w:rPr>
                <w:rFonts w:hint="eastAsia" w:ascii="仿宋" w:hAnsi="仿宋" w:eastAsia="仿宋"/>
                <w:lang w:val="en-US" w:eastAsia="zh-CN"/>
              </w:rPr>
              <w:t>6</w:t>
            </w:r>
            <w:r>
              <w:rPr>
                <w:rFonts w:hint="eastAsia" w:ascii="仿宋" w:hAnsi="仿宋" w:eastAsia="仿宋"/>
              </w:rPr>
              <w:t>-</w:t>
            </w:r>
            <w:r>
              <w:rPr>
                <w:rFonts w:ascii="仿宋" w:hAnsi="仿宋" w:eastAsia="仿宋"/>
              </w:rPr>
              <w:t>20</w:t>
            </w:r>
            <w:r>
              <w:rPr>
                <w:rFonts w:hint="eastAsia" w:ascii="仿宋" w:hAnsi="仿宋" w:eastAsia="仿宋"/>
              </w:rPr>
              <w:t>2</w:t>
            </w:r>
            <w:r>
              <w:rPr>
                <w:rFonts w:hint="eastAsia" w:ascii="仿宋" w:hAnsi="仿宋" w:eastAsia="仿宋"/>
                <w:lang w:val="en-US" w:eastAsia="zh-CN"/>
              </w:rPr>
              <w:t>4</w:t>
            </w:r>
            <w:r>
              <w:rPr>
                <w:rFonts w:ascii="仿宋" w:hAnsi="仿宋" w:eastAsia="仿宋"/>
              </w:rPr>
              <w:t>.</w:t>
            </w:r>
            <w:r>
              <w:rPr>
                <w:rFonts w:hint="eastAsia" w:ascii="仿宋" w:hAnsi="仿宋" w:eastAsia="仿宋"/>
                <w:lang w:val="en-US" w:eastAsia="zh-CN"/>
              </w:rPr>
              <w:t>02</w:t>
            </w:r>
          </w:p>
        </w:tc>
        <w:tc>
          <w:tcPr>
            <w:tcW w:w="6280" w:type="dxa"/>
            <w:noWrap w:val="0"/>
            <w:vAlign w:val="top"/>
          </w:tcPr>
          <w:p>
            <w:pPr>
              <w:pStyle w:val="3"/>
              <w:widowControl w:val="0"/>
              <w:jc w:val="both"/>
              <w:rPr>
                <w:rFonts w:hint="default" w:ascii="仿宋" w:hAnsi="仿宋" w:eastAsia="仿宋"/>
                <w:lang w:val="en-US" w:eastAsia="zh-CN"/>
              </w:rPr>
            </w:pPr>
            <w:r>
              <w:rPr>
                <w:rFonts w:hint="eastAsia" w:ascii="仿宋" w:hAnsi="仿宋" w:eastAsia="仿宋"/>
                <w:lang w:val="en-US" w:eastAsia="zh-CN"/>
              </w:rPr>
              <w:t>系统总体设计，模块划分。并通过3D建模，进行场景搭建，完成部分动画制作。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2016" w:type="dxa"/>
            <w:noWrap w:val="0"/>
            <w:vAlign w:val="top"/>
          </w:tcPr>
          <w:p>
            <w:pPr>
              <w:pStyle w:val="3"/>
              <w:widowControl w:val="0"/>
              <w:spacing w:line="360" w:lineRule="auto"/>
              <w:jc w:val="center"/>
              <w:rPr>
                <w:rFonts w:hint="default" w:ascii="仿宋" w:hAnsi="仿宋" w:eastAsia="仿宋"/>
                <w:lang w:val="en-US" w:eastAsia="zh-CN"/>
              </w:rPr>
            </w:pPr>
            <w:r>
              <w:rPr>
                <w:rFonts w:hint="eastAsia" w:ascii="仿宋" w:hAnsi="仿宋" w:eastAsia="仿宋"/>
                <w:lang w:val="en-US" w:eastAsia="zh-CN"/>
              </w:rPr>
              <w:t>2024.02-2024.06</w:t>
            </w:r>
          </w:p>
        </w:tc>
        <w:tc>
          <w:tcPr>
            <w:tcW w:w="6280" w:type="dxa"/>
            <w:noWrap w:val="0"/>
            <w:vAlign w:val="top"/>
          </w:tcPr>
          <w:p>
            <w:pPr>
              <w:pStyle w:val="3"/>
              <w:widowControl w:val="0"/>
              <w:jc w:val="both"/>
              <w:rPr>
                <w:rFonts w:hint="default" w:ascii="仿宋" w:hAnsi="仿宋" w:eastAsia="仿宋"/>
                <w:lang w:val="en-US" w:eastAsia="zh-CN"/>
              </w:rPr>
            </w:pPr>
            <w:r>
              <w:rPr>
                <w:rFonts w:hint="eastAsia" w:ascii="仿宋" w:hAnsi="仿宋" w:eastAsia="仿宋"/>
                <w:lang w:val="en-US" w:eastAsia="zh-CN"/>
              </w:rPr>
              <w:t>整合之前的场景以及动画，完成游戏整个设计逻辑，进行软件著作权的申报，撰写相关学术论文。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1" w:hRule="atLeast"/>
        </w:trPr>
        <w:tc>
          <w:tcPr>
            <w:tcW w:w="2016" w:type="dxa"/>
            <w:noWrap w:val="0"/>
            <w:vAlign w:val="top"/>
          </w:tcPr>
          <w:p>
            <w:pPr>
              <w:pStyle w:val="3"/>
              <w:widowControl w:val="0"/>
              <w:spacing w:line="480" w:lineRule="auto"/>
              <w:jc w:val="center"/>
              <w:rPr>
                <w:rFonts w:hint="eastAsia" w:ascii="仿宋" w:hAnsi="仿宋" w:eastAsia="仿宋" w:cs="宋体"/>
                <w:kern w:val="0"/>
                <w:sz w:val="24"/>
                <w:szCs w:val="24"/>
                <w:lang w:val="en-US" w:eastAsia="zh-CN" w:bidi="ar-SA"/>
              </w:rPr>
            </w:pPr>
            <w:r>
              <w:rPr>
                <w:rFonts w:hint="eastAsia" w:ascii="仿宋" w:hAnsi="仿宋" w:eastAsia="仿宋"/>
              </w:rPr>
              <w:t>2</w:t>
            </w:r>
            <w:r>
              <w:rPr>
                <w:rFonts w:ascii="仿宋" w:hAnsi="仿宋" w:eastAsia="仿宋"/>
              </w:rPr>
              <w:t>02</w:t>
            </w:r>
            <w:r>
              <w:rPr>
                <w:rFonts w:hint="eastAsia" w:ascii="仿宋" w:hAnsi="仿宋" w:eastAsia="仿宋"/>
                <w:lang w:val="en-US" w:eastAsia="zh-CN"/>
              </w:rPr>
              <w:t>4</w:t>
            </w:r>
            <w:r>
              <w:rPr>
                <w:rFonts w:ascii="仿宋" w:hAnsi="仿宋" w:eastAsia="仿宋"/>
              </w:rPr>
              <w:t>.0</w:t>
            </w:r>
            <w:r>
              <w:rPr>
                <w:rFonts w:hint="eastAsia" w:ascii="仿宋" w:hAnsi="仿宋" w:eastAsia="仿宋"/>
                <w:lang w:val="en-US" w:eastAsia="zh-CN"/>
              </w:rPr>
              <w:t>6</w:t>
            </w:r>
            <w:r>
              <w:rPr>
                <w:rFonts w:ascii="仿宋" w:hAnsi="仿宋" w:eastAsia="仿宋"/>
              </w:rPr>
              <w:t>-20</w:t>
            </w:r>
            <w:r>
              <w:rPr>
                <w:rFonts w:hint="eastAsia" w:ascii="仿宋" w:hAnsi="仿宋" w:eastAsia="仿宋"/>
              </w:rPr>
              <w:t>2</w:t>
            </w:r>
            <w:r>
              <w:rPr>
                <w:rFonts w:hint="eastAsia" w:ascii="仿宋" w:hAnsi="仿宋" w:eastAsia="仿宋"/>
                <w:lang w:val="en-US" w:eastAsia="zh-CN"/>
              </w:rPr>
              <w:t>4</w:t>
            </w:r>
            <w:r>
              <w:rPr>
                <w:rFonts w:ascii="仿宋" w:hAnsi="仿宋" w:eastAsia="仿宋"/>
              </w:rPr>
              <w:t>.0</w:t>
            </w:r>
            <w:r>
              <w:rPr>
                <w:rFonts w:hint="eastAsia" w:ascii="仿宋" w:hAnsi="仿宋" w:eastAsia="仿宋"/>
                <w:lang w:val="en-US" w:eastAsia="zh-CN"/>
              </w:rPr>
              <w:t>9</w:t>
            </w:r>
          </w:p>
        </w:tc>
        <w:tc>
          <w:tcPr>
            <w:tcW w:w="6280" w:type="dxa"/>
            <w:noWrap w:val="0"/>
            <w:vAlign w:val="top"/>
          </w:tcPr>
          <w:p>
            <w:pPr>
              <w:pStyle w:val="3"/>
              <w:widowControl w:val="0"/>
              <w:jc w:val="both"/>
              <w:rPr>
                <w:rFonts w:hint="eastAsia" w:ascii="仿宋" w:hAnsi="仿宋" w:eastAsia="仿宋" w:cs="宋体"/>
                <w:kern w:val="0"/>
                <w:sz w:val="24"/>
                <w:szCs w:val="24"/>
                <w:lang w:val="en-US" w:eastAsia="zh-CN" w:bidi="ar-SA"/>
              </w:rPr>
            </w:pPr>
            <w:r>
              <w:rPr>
                <w:rFonts w:hint="eastAsia" w:ascii="仿宋_GB2312" w:hAnsi="仿宋" w:eastAsia="仿宋_GB2312"/>
              </w:rPr>
              <w:t>测试并完善</w:t>
            </w:r>
            <w:r>
              <w:rPr>
                <w:rFonts w:hint="eastAsia" w:ascii="仿宋_GB2312" w:hAnsi="仿宋" w:eastAsia="仿宋_GB2312"/>
                <w:lang w:val="en-US" w:eastAsia="zh-CN"/>
              </w:rPr>
              <w:t>游戏</w:t>
            </w:r>
            <w:r>
              <w:rPr>
                <w:rFonts w:hint="eastAsia" w:ascii="仿宋_GB2312" w:hAnsi="仿宋" w:eastAsia="仿宋_GB2312"/>
              </w:rPr>
              <w:t>，总结、撰写工作报告，</w:t>
            </w:r>
            <w:r>
              <w:rPr>
                <w:rFonts w:hint="eastAsia" w:ascii="仿宋_GB2312" w:hAnsi="仿宋" w:eastAsia="仿宋_GB2312"/>
                <w:lang w:val="en-US" w:eastAsia="zh-CN"/>
              </w:rPr>
              <w:t>发表</w:t>
            </w:r>
            <w:r>
              <w:rPr>
                <w:rFonts w:hint="eastAsia" w:ascii="仿宋_GB2312" w:hAnsi="仿宋" w:eastAsia="仿宋_GB2312"/>
              </w:rPr>
              <w:t>学术论文。</w:t>
            </w:r>
          </w:p>
        </w:tc>
      </w:tr>
    </w:tbl>
    <w:p>
      <w:pPr>
        <w:numPr>
          <w:ilvl w:val="0"/>
          <w:numId w:val="0"/>
        </w:numPr>
        <w:snapToGrid w:val="0"/>
        <w:ind w:firstLine="420" w:firstLineChars="0"/>
        <w:rPr>
          <w:rFonts w:hint="default"/>
          <w:color w:val="auto"/>
          <w:position w:val="-30"/>
          <w:sz w:val="21"/>
          <w:szCs w:val="21"/>
          <w:lang w:val="en-US" w:eastAsia="zh-CN"/>
        </w:rPr>
      </w:pPr>
    </w:p>
    <w:p>
      <w:pPr>
        <w:numPr>
          <w:ilvl w:val="0"/>
          <w:numId w:val="0"/>
        </w:numPr>
        <w:snapToGrid w:val="0"/>
        <w:rPr>
          <w:rFonts w:hint="eastAsia"/>
          <w:color w:val="auto"/>
          <w:position w:val="-30"/>
          <w:sz w:val="21"/>
          <w:szCs w:val="21"/>
          <w:lang w:val="en-US" w:eastAsia="zh-CN"/>
        </w:rPr>
      </w:pPr>
      <w:r>
        <w:rPr>
          <w:rFonts w:hint="eastAsia"/>
          <w:color w:val="auto"/>
          <w:position w:val="-30"/>
          <w:sz w:val="21"/>
          <w:szCs w:val="21"/>
          <w:lang w:val="en-US" w:eastAsia="zh-CN"/>
        </w:rPr>
        <w:t>项目人员：</w:t>
      </w:r>
    </w:p>
    <w:p>
      <w:pPr>
        <w:numPr>
          <w:ilvl w:val="0"/>
          <w:numId w:val="0"/>
        </w:numPr>
        <w:snapToGrid w:val="0"/>
        <w:ind w:firstLine="420" w:firstLineChars="0"/>
        <w:rPr>
          <w:rFonts w:hint="eastAsia"/>
          <w:color w:val="auto"/>
          <w:position w:val="-30"/>
          <w:sz w:val="21"/>
          <w:szCs w:val="21"/>
          <w:lang w:val="en-US" w:eastAsia="zh-CN"/>
        </w:rPr>
      </w:pPr>
      <w:r>
        <w:rPr>
          <w:rFonts w:hint="eastAsia"/>
          <w:color w:val="auto"/>
          <w:position w:val="-30"/>
          <w:sz w:val="21"/>
          <w:szCs w:val="21"/>
          <w:lang w:val="en-US" w:eastAsia="zh-CN"/>
        </w:rPr>
        <w:t>梁浩铂 李鑫 谭智艺 何承沛</w:t>
      </w:r>
    </w:p>
    <w:p>
      <w:pPr>
        <w:numPr>
          <w:ilvl w:val="0"/>
          <w:numId w:val="0"/>
        </w:numPr>
        <w:snapToGrid w:val="0"/>
        <w:ind w:firstLine="420" w:firstLineChars="0"/>
        <w:rPr>
          <w:rFonts w:hint="eastAsia"/>
          <w:color w:val="auto"/>
          <w:position w:val="-30"/>
          <w:sz w:val="21"/>
          <w:szCs w:val="21"/>
          <w:lang w:val="en-US" w:eastAsia="zh-CN"/>
        </w:rPr>
      </w:pPr>
    </w:p>
    <w:p>
      <w:pPr>
        <w:numPr>
          <w:ilvl w:val="0"/>
          <w:numId w:val="0"/>
        </w:numPr>
        <w:snapToGrid w:val="0"/>
        <w:rPr>
          <w:rFonts w:hint="eastAsia"/>
          <w:color w:val="auto"/>
          <w:position w:val="-30"/>
          <w:sz w:val="21"/>
          <w:szCs w:val="21"/>
          <w:lang w:val="en-US" w:eastAsia="zh-CN"/>
        </w:rPr>
      </w:pPr>
      <w:r>
        <w:rPr>
          <w:rFonts w:hint="eastAsia"/>
          <w:color w:val="auto"/>
          <w:position w:val="-30"/>
          <w:sz w:val="21"/>
          <w:szCs w:val="21"/>
          <w:lang w:val="en-US" w:eastAsia="zh-CN"/>
        </w:rPr>
        <w:t>所需要的资源：</w:t>
      </w:r>
    </w:p>
    <w:p>
      <w:pPr>
        <w:spacing w:line="0" w:lineRule="atLeast"/>
        <w:ind w:firstLine="420" w:firstLineChars="200"/>
        <w:rPr>
          <w:rFonts w:hint="eastAsia"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充分利用学校图书馆和网上的资源，一些开源代码。</w:t>
      </w:r>
    </w:p>
    <w:p>
      <w:pPr>
        <w:spacing w:line="0" w:lineRule="atLeast"/>
        <w:ind w:firstLine="420" w:firstLineChars="200"/>
        <w:rPr>
          <w:rFonts w:hint="eastAsia"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主要软件和文档：中国知网文献、CSDN官网资料、C#语言MSDN文档、Unity官方文档、Unity3D、UE5、3DMax、Visual Studio 2022。</w:t>
      </w:r>
    </w:p>
    <w:p>
      <w:pPr>
        <w:spacing w:line="0" w:lineRule="atLeast"/>
        <w:ind w:firstLine="420" w:firstLineChars="200"/>
        <w:rPr>
          <w:rFonts w:hint="default"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硬件设备：项目组成员人手一部安卓手机，基本都有笔记本电脑用来游戏场景搭建、动画制作、游戏逻辑实现，一套VR设备</w:t>
      </w:r>
      <w:r>
        <w:rPr>
          <w:rFonts w:hint="eastAsia" w:ascii="宋体" w:hAnsi="宋体" w:cs="宋体"/>
          <w:color w:val="auto"/>
          <w:kern w:val="0"/>
          <w:position w:val="-30"/>
          <w:sz w:val="21"/>
          <w:szCs w:val="21"/>
          <w:lang w:val="en-US" w:eastAsia="zh-CN" w:bidi="ar-SA"/>
        </w:rPr>
        <w:t>，一套航拍无人机。</w:t>
      </w:r>
    </w:p>
    <w:p>
      <w:pPr>
        <w:numPr>
          <w:ilvl w:val="0"/>
          <w:numId w:val="0"/>
        </w:numPr>
        <w:snapToGrid w:val="0"/>
        <w:ind w:firstLine="420" w:firstLineChars="0"/>
        <w:rPr>
          <w:rFonts w:hint="eastAsia" w:ascii="宋体" w:hAnsi="宋体" w:eastAsia="宋体" w:cs="宋体"/>
          <w:color w:val="auto"/>
          <w:kern w:val="0"/>
          <w:position w:val="-30"/>
          <w:sz w:val="21"/>
          <w:szCs w:val="21"/>
          <w:lang w:val="en-US" w:eastAsia="zh-CN" w:bidi="ar-SA"/>
        </w:rPr>
      </w:pPr>
      <w:r>
        <w:rPr>
          <w:rFonts w:hint="eastAsia" w:ascii="宋体" w:hAnsi="宋体" w:cs="宋体"/>
          <w:color w:val="auto"/>
          <w:kern w:val="0"/>
          <w:position w:val="-30"/>
          <w:sz w:val="21"/>
          <w:szCs w:val="21"/>
          <w:lang w:val="en-US" w:eastAsia="zh-CN" w:bidi="ar-SA"/>
        </w:rPr>
        <w:t>若</w:t>
      </w:r>
      <w:r>
        <w:rPr>
          <w:rFonts w:hint="eastAsia" w:ascii="宋体" w:hAnsi="宋体" w:eastAsia="宋体" w:cs="宋体"/>
          <w:color w:val="auto"/>
          <w:kern w:val="0"/>
          <w:position w:val="-30"/>
          <w:sz w:val="21"/>
          <w:szCs w:val="21"/>
          <w:lang w:val="en-US" w:eastAsia="zh-CN" w:bidi="ar-SA"/>
        </w:rPr>
        <w:t>软硬件充足，</w:t>
      </w:r>
      <w:r>
        <w:rPr>
          <w:rFonts w:hint="eastAsia" w:ascii="宋体" w:hAnsi="宋体" w:cs="宋体"/>
          <w:color w:val="auto"/>
          <w:kern w:val="0"/>
          <w:position w:val="-30"/>
          <w:sz w:val="21"/>
          <w:szCs w:val="21"/>
          <w:lang w:val="en-US" w:eastAsia="zh-CN" w:bidi="ar-SA"/>
        </w:rPr>
        <w:t>则</w:t>
      </w:r>
      <w:r>
        <w:rPr>
          <w:rFonts w:hint="eastAsia" w:ascii="宋体" w:hAnsi="宋体" w:eastAsia="宋体" w:cs="宋体"/>
          <w:color w:val="auto"/>
          <w:kern w:val="0"/>
          <w:position w:val="-30"/>
          <w:sz w:val="21"/>
          <w:szCs w:val="21"/>
          <w:lang w:val="en-US" w:eastAsia="zh-CN" w:bidi="ar-SA"/>
        </w:rPr>
        <w:t>能够帮助项目按时完成。</w:t>
      </w:r>
    </w:p>
    <w:p>
      <w:pPr>
        <w:numPr>
          <w:ilvl w:val="0"/>
          <w:numId w:val="0"/>
        </w:numPr>
        <w:snapToGrid w:val="0"/>
        <w:ind w:firstLine="420" w:firstLineChars="0"/>
        <w:rPr>
          <w:rFonts w:hint="eastAsia" w:ascii="宋体" w:hAnsi="宋体" w:eastAsia="宋体" w:cs="宋体"/>
          <w:color w:val="auto"/>
          <w:kern w:val="0"/>
          <w:position w:val="-30"/>
          <w:sz w:val="21"/>
          <w:szCs w:val="21"/>
          <w:lang w:val="en-US" w:eastAsia="zh-CN" w:bidi="ar-SA"/>
        </w:rPr>
      </w:pPr>
    </w:p>
    <w:p>
      <w:pPr>
        <w:numPr>
          <w:ilvl w:val="0"/>
          <w:numId w:val="0"/>
        </w:numPr>
        <w:snapToGrid w:val="0"/>
        <w:rPr>
          <w:rFonts w:hint="eastAsia" w:ascii="宋体" w:hAnsi="宋体" w:eastAsia="宋体" w:cs="宋体"/>
          <w:color w:val="auto"/>
          <w:kern w:val="0"/>
          <w:position w:val="-30"/>
          <w:sz w:val="21"/>
          <w:szCs w:val="21"/>
          <w:lang w:val="en-US" w:eastAsia="zh-CN" w:bidi="ar-SA"/>
        </w:rPr>
      </w:pPr>
      <w:r>
        <w:rPr>
          <w:rFonts w:hint="eastAsia" w:ascii="宋体" w:hAnsi="宋体" w:eastAsia="宋体" w:cs="宋体"/>
          <w:color w:val="auto"/>
          <w:kern w:val="0"/>
          <w:position w:val="-30"/>
          <w:sz w:val="21"/>
          <w:szCs w:val="21"/>
          <w:lang w:val="en-US" w:eastAsia="zh-CN" w:bidi="ar-SA"/>
        </w:rPr>
        <w:t>参考文献：</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[1] 吕云，王海泉，孙伟著.《虚拟现实理论、技术、开发与应用》.北京:清华大学出版社，2019</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[2]刘晶.中国工程院院士赵沁平：虚拟现实技术呈螺旋上升式发展[N].中国电子报,2022-12-06(005)</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[3]赵沁平:“虚拟现实+”进入发展期[J].中国教育网络,2016,(06):31-32.</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[4]赵沁平,李帅,宋震,潘俊君.虚拟生理人体建模与仿真关键技术研究进展[J].中国科学基金,2022,36(02):187-197.</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[5]赵沁平.虚实结合 协同创新 扎实推进虚拟现实产业健康发展[J].中国科技产业,2022,(03):16-17.</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[6]章竹乔.虚拟现实技术在灭火救援模拟训练中的应用分析[J].中国设备工程,2023,(05):21-23.</w:t>
      </w:r>
    </w:p>
    <w:p>
      <w:pPr>
        <w:numPr>
          <w:ilvl w:val="0"/>
          <w:numId w:val="0"/>
        </w:numPr>
        <w:snapToGrid w:val="0"/>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[7]赵沁平.虚拟现实，让生活更精彩[J].中国报业,2021,(07):50-51.</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[8]王利丽,李永驰.基于虚拟现实技术的数字博物馆的开发与应用[J].现代信息科技,2023,7(04):22-28.</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[9]高洋,焦洪强,李彦强.基于虚幻引擎的数字博物馆设计与实现[J].电脑与信息技术,2023,31(01):86-88+95.</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[10]赵沁平.从虚拟现实技术管窥新兴工科人才培养[J].中国大学教学,2019,(09):7-9.</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[11]阮莹.沉浸式虚拟现实交互技术在艺术设计专业教学中的应用[J].西部素质教育,2023,9(04):115-118.</w:t>
      </w:r>
    </w:p>
    <w:p>
      <w:pPr>
        <w:spacing w:line="0" w:lineRule="atLeast"/>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[12]姚玉笙,刘琳溦,刘莉,林文君,林莹.基于虚拟现实技术培训对初级创伤救治教学质量的影响[J].福建医药杂志,2023,45(01):118-120.</w:t>
      </w:r>
    </w:p>
    <w:p>
      <w:pPr>
        <w:numPr>
          <w:ilvl w:val="0"/>
          <w:numId w:val="0"/>
        </w:numPr>
        <w:snapToGrid w:val="0"/>
        <w:ind w:firstLine="420" w:firstLineChars="0"/>
        <w:rPr>
          <w:rFonts w:hint="eastAsia" w:ascii="宋体" w:hAnsi="宋体"/>
          <w:color w:val="000000"/>
          <w:szCs w:val="21"/>
          <w:lang w:val="en-US" w:eastAsia="zh-CN"/>
        </w:rPr>
      </w:pPr>
      <w:r>
        <w:rPr>
          <w:rFonts w:hint="eastAsia" w:ascii="宋体" w:hAnsi="宋体"/>
          <w:color w:val="000000"/>
          <w:szCs w:val="21"/>
          <w:lang w:val="en-US" w:eastAsia="zh-CN"/>
        </w:rPr>
        <w:t>[13]袁帅.旅游业迎来春天[J].小康,2023,No.512(03):30-31.</w:t>
      </w:r>
    </w:p>
    <w:p>
      <w:pPr>
        <w:numPr>
          <w:ilvl w:val="0"/>
          <w:numId w:val="0"/>
        </w:numPr>
        <w:snapToGrid w:val="0"/>
        <w:ind w:firstLine="420" w:firstLineChars="0"/>
        <w:rPr>
          <w:rFonts w:hint="eastAsia" w:ascii="宋体" w:hAnsi="宋体"/>
          <w:color w:val="000000"/>
          <w:szCs w:val="21"/>
          <w:lang w:val="en-US" w:eastAsia="zh-CN"/>
        </w:rPr>
      </w:pPr>
    </w:p>
    <w:p>
      <w:pPr>
        <w:numPr>
          <w:ilvl w:val="0"/>
          <w:numId w:val="0"/>
        </w:numPr>
        <w:snapToGrid w:val="0"/>
        <w:rPr>
          <w:rFonts w:hint="eastAsia" w:ascii="宋体" w:hAnsi="宋体"/>
          <w:color w:val="000000"/>
          <w:szCs w:val="21"/>
          <w:lang w:val="en-US" w:eastAsia="zh-CN"/>
        </w:rPr>
      </w:pPr>
      <w:r>
        <w:rPr>
          <w:rFonts w:hint="eastAsia" w:ascii="宋体" w:hAnsi="宋体"/>
          <w:color w:val="000000"/>
          <w:szCs w:val="21"/>
          <w:lang w:val="en-US" w:eastAsia="zh-CN"/>
        </w:rPr>
        <w:t>预算：</w:t>
      </w:r>
    </w:p>
    <w:tbl>
      <w:tblPr>
        <w:tblStyle w:val="4"/>
        <w:tblW w:w="8763" w:type="dxa"/>
        <w:jc w:val="center"/>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Layout w:type="fixed"/>
        <w:tblCellMar>
          <w:top w:w="0" w:type="dxa"/>
          <w:left w:w="108" w:type="dxa"/>
          <w:bottom w:w="0" w:type="dxa"/>
          <w:right w:w="108" w:type="dxa"/>
        </w:tblCellMar>
      </w:tblPr>
      <w:tblGrid>
        <w:gridCol w:w="2790"/>
        <w:gridCol w:w="2125"/>
        <w:gridCol w:w="3848"/>
      </w:tblGrid>
      <w:tr>
        <w:tblPrEx>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CellMar>
            <w:top w:w="0" w:type="dxa"/>
            <w:left w:w="108" w:type="dxa"/>
            <w:bottom w:w="0" w:type="dxa"/>
            <w:right w:w="108" w:type="dxa"/>
          </w:tblCellMar>
        </w:tblPrEx>
        <w:trPr>
          <w:cantSplit/>
          <w:trHeight w:val="397" w:hRule="exact"/>
          <w:jc w:val="center"/>
        </w:trPr>
        <w:tc>
          <w:tcPr>
            <w:tcW w:w="2790" w:type="dxa"/>
            <w:noWrap w:val="0"/>
            <w:vAlign w:val="center"/>
          </w:tcPr>
          <w:p>
            <w:pPr>
              <w:spacing w:line="0" w:lineRule="atLeast"/>
              <w:jc w:val="center"/>
              <w:rPr>
                <w:rFonts w:ascii="宋体" w:hAnsi="宋体" w:cs="宋体"/>
                <w:szCs w:val="21"/>
              </w:rPr>
            </w:pPr>
            <w:r>
              <w:rPr>
                <w:rFonts w:hint="eastAsia" w:ascii="宋体" w:hAnsi="宋体" w:cs="宋体"/>
                <w:szCs w:val="21"/>
              </w:rPr>
              <w:t>预算支出科目</w:t>
            </w:r>
          </w:p>
        </w:tc>
        <w:tc>
          <w:tcPr>
            <w:tcW w:w="2125" w:type="dxa"/>
            <w:noWrap w:val="0"/>
            <w:vAlign w:val="center"/>
          </w:tcPr>
          <w:p>
            <w:pPr>
              <w:spacing w:line="0" w:lineRule="atLeast"/>
              <w:jc w:val="center"/>
              <w:rPr>
                <w:rFonts w:ascii="宋体" w:hAnsi="宋体" w:cs="宋体"/>
                <w:szCs w:val="21"/>
              </w:rPr>
            </w:pPr>
            <w:r>
              <w:rPr>
                <w:rFonts w:hint="eastAsia" w:ascii="宋体" w:hAnsi="宋体" w:cs="宋体"/>
                <w:szCs w:val="21"/>
              </w:rPr>
              <w:t>支出金额（元）</w:t>
            </w:r>
          </w:p>
        </w:tc>
        <w:tc>
          <w:tcPr>
            <w:tcW w:w="3848" w:type="dxa"/>
            <w:noWrap w:val="0"/>
            <w:vAlign w:val="center"/>
          </w:tcPr>
          <w:p>
            <w:pPr>
              <w:spacing w:line="0" w:lineRule="atLeast"/>
              <w:jc w:val="center"/>
              <w:rPr>
                <w:rFonts w:ascii="宋体" w:hAnsi="宋体" w:cs="宋体"/>
                <w:szCs w:val="21"/>
              </w:rPr>
            </w:pPr>
            <w:r>
              <w:rPr>
                <w:rFonts w:hint="eastAsia" w:ascii="宋体" w:hAnsi="宋体" w:cs="宋体"/>
                <w:szCs w:val="21"/>
              </w:rPr>
              <w:t>预算根据及理由</w:t>
            </w:r>
          </w:p>
        </w:tc>
      </w:tr>
      <w:tr>
        <w:tblPrEx>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CellMar>
            <w:top w:w="0" w:type="dxa"/>
            <w:left w:w="108" w:type="dxa"/>
            <w:bottom w:w="0" w:type="dxa"/>
            <w:right w:w="108" w:type="dxa"/>
          </w:tblCellMar>
        </w:tblPrEx>
        <w:trPr>
          <w:cantSplit/>
          <w:trHeight w:val="417" w:hRule="exact"/>
          <w:jc w:val="center"/>
        </w:trPr>
        <w:tc>
          <w:tcPr>
            <w:tcW w:w="2790" w:type="dxa"/>
            <w:noWrap w:val="0"/>
            <w:vAlign w:val="center"/>
          </w:tcPr>
          <w:p>
            <w:pPr>
              <w:spacing w:line="0" w:lineRule="atLeast"/>
              <w:rPr>
                <w:rFonts w:ascii="宋体" w:hAnsi="宋体" w:cs="宋体"/>
                <w:szCs w:val="21"/>
              </w:rPr>
            </w:pPr>
            <w:r>
              <w:rPr>
                <w:rFonts w:hint="eastAsia" w:ascii="宋体" w:hAnsi="宋体" w:cs="宋体"/>
                <w:szCs w:val="21"/>
                <w:lang w:val="en-US" w:eastAsia="zh-CN"/>
              </w:rPr>
              <w:t>1</w:t>
            </w:r>
            <w:r>
              <w:rPr>
                <w:rFonts w:hint="eastAsia" w:ascii="宋体" w:hAnsi="宋体" w:cs="宋体"/>
                <w:szCs w:val="21"/>
              </w:rPr>
              <w:t>．印刷费（论文版面费）</w:t>
            </w:r>
          </w:p>
        </w:tc>
        <w:tc>
          <w:tcPr>
            <w:tcW w:w="2125"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4000</w:t>
            </w:r>
          </w:p>
        </w:tc>
        <w:tc>
          <w:tcPr>
            <w:tcW w:w="3848"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发表论文版面费，打字复印</w:t>
            </w:r>
          </w:p>
        </w:tc>
      </w:tr>
      <w:tr>
        <w:tblPrEx>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CellMar>
            <w:top w:w="0" w:type="dxa"/>
            <w:left w:w="108" w:type="dxa"/>
            <w:bottom w:w="0" w:type="dxa"/>
            <w:right w:w="108" w:type="dxa"/>
          </w:tblCellMar>
        </w:tblPrEx>
        <w:trPr>
          <w:cantSplit/>
          <w:trHeight w:val="763" w:hRule="exact"/>
          <w:jc w:val="center"/>
        </w:trPr>
        <w:tc>
          <w:tcPr>
            <w:tcW w:w="2790" w:type="dxa"/>
            <w:noWrap w:val="0"/>
            <w:vAlign w:val="center"/>
          </w:tcPr>
          <w:p>
            <w:pPr>
              <w:spacing w:line="0" w:lineRule="atLeast"/>
              <w:rPr>
                <w:rFonts w:ascii="宋体" w:hAnsi="宋体" w:cs="宋体"/>
                <w:szCs w:val="21"/>
              </w:rPr>
            </w:pPr>
            <w:r>
              <w:rPr>
                <w:rFonts w:hint="eastAsia" w:ascii="宋体" w:hAnsi="宋体" w:cs="宋体"/>
                <w:szCs w:val="21"/>
                <w:lang w:val="en-US" w:eastAsia="zh-CN"/>
              </w:rPr>
              <w:t>2</w:t>
            </w:r>
            <w:r>
              <w:rPr>
                <w:rFonts w:hint="eastAsia" w:ascii="宋体" w:hAnsi="宋体" w:cs="宋体"/>
                <w:szCs w:val="21"/>
              </w:rPr>
              <w:t>．原材料试剂等耗材购置</w:t>
            </w:r>
          </w:p>
        </w:tc>
        <w:tc>
          <w:tcPr>
            <w:tcW w:w="2125"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5000</w:t>
            </w:r>
          </w:p>
        </w:tc>
        <w:tc>
          <w:tcPr>
            <w:tcW w:w="3848"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U盘、硒鼓、内存等耗材，一套VR设备，一套航拍无人机</w:t>
            </w:r>
          </w:p>
        </w:tc>
      </w:tr>
      <w:tr>
        <w:tblPrEx>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CellMar>
            <w:top w:w="0" w:type="dxa"/>
            <w:left w:w="108" w:type="dxa"/>
            <w:bottom w:w="0" w:type="dxa"/>
            <w:right w:w="108" w:type="dxa"/>
          </w:tblCellMar>
        </w:tblPrEx>
        <w:trPr>
          <w:cantSplit/>
          <w:trHeight w:val="398" w:hRule="exact"/>
          <w:jc w:val="center"/>
        </w:trPr>
        <w:tc>
          <w:tcPr>
            <w:tcW w:w="2790" w:type="dxa"/>
            <w:noWrap w:val="0"/>
            <w:vAlign w:val="center"/>
          </w:tcPr>
          <w:p>
            <w:pPr>
              <w:spacing w:line="0" w:lineRule="atLeast"/>
              <w:rPr>
                <w:rFonts w:ascii="宋体" w:hAnsi="宋体" w:cs="宋体"/>
                <w:szCs w:val="21"/>
              </w:rPr>
            </w:pPr>
            <w:r>
              <w:rPr>
                <w:rFonts w:hint="eastAsia" w:ascii="宋体" w:hAnsi="宋体" w:cs="宋体"/>
                <w:szCs w:val="21"/>
                <w:lang w:val="en-US" w:eastAsia="zh-CN"/>
              </w:rPr>
              <w:t>3</w:t>
            </w:r>
            <w:r>
              <w:rPr>
                <w:rFonts w:hint="eastAsia" w:ascii="宋体" w:hAnsi="宋体" w:cs="宋体"/>
                <w:szCs w:val="21"/>
              </w:rPr>
              <w:t>．专利技术</w:t>
            </w:r>
          </w:p>
        </w:tc>
        <w:tc>
          <w:tcPr>
            <w:tcW w:w="2125"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1000</w:t>
            </w:r>
          </w:p>
        </w:tc>
        <w:tc>
          <w:tcPr>
            <w:tcW w:w="3848"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软件著作权申请或专利申请</w:t>
            </w:r>
          </w:p>
        </w:tc>
      </w:tr>
      <w:tr>
        <w:tblPrEx>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CellMar>
            <w:top w:w="0" w:type="dxa"/>
            <w:left w:w="108" w:type="dxa"/>
            <w:bottom w:w="0" w:type="dxa"/>
            <w:right w:w="108" w:type="dxa"/>
          </w:tblCellMar>
        </w:tblPrEx>
        <w:trPr>
          <w:cantSplit/>
          <w:trHeight w:val="594" w:hRule="exact"/>
          <w:jc w:val="center"/>
        </w:trPr>
        <w:tc>
          <w:tcPr>
            <w:tcW w:w="2790" w:type="dxa"/>
            <w:noWrap w:val="0"/>
            <w:vAlign w:val="center"/>
          </w:tcPr>
          <w:p>
            <w:pPr>
              <w:spacing w:line="0" w:lineRule="atLeast"/>
              <w:rPr>
                <w:rFonts w:ascii="宋体" w:hAnsi="宋体" w:cs="宋体"/>
                <w:szCs w:val="21"/>
              </w:rPr>
            </w:pPr>
            <w:r>
              <w:rPr>
                <w:rFonts w:hint="eastAsia" w:ascii="宋体" w:hAnsi="宋体" w:cs="宋体"/>
                <w:szCs w:val="21"/>
                <w:lang w:val="en-US" w:eastAsia="zh-CN"/>
              </w:rPr>
              <w:t>4</w:t>
            </w:r>
            <w:r>
              <w:rPr>
                <w:rFonts w:hint="eastAsia" w:ascii="宋体" w:hAnsi="宋体" w:cs="宋体"/>
                <w:szCs w:val="21"/>
              </w:rPr>
              <w:t>．图书购置费</w:t>
            </w:r>
          </w:p>
        </w:tc>
        <w:tc>
          <w:tcPr>
            <w:tcW w:w="2125"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500</w:t>
            </w:r>
          </w:p>
        </w:tc>
        <w:tc>
          <w:tcPr>
            <w:tcW w:w="3848"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购买相关书籍、软件、文献检索费、邮寄费</w:t>
            </w:r>
          </w:p>
        </w:tc>
      </w:tr>
      <w:tr>
        <w:tblPrEx>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CellMar>
            <w:top w:w="0" w:type="dxa"/>
            <w:left w:w="108" w:type="dxa"/>
            <w:bottom w:w="0" w:type="dxa"/>
            <w:right w:w="108" w:type="dxa"/>
          </w:tblCellMar>
        </w:tblPrEx>
        <w:trPr>
          <w:cantSplit/>
          <w:trHeight w:val="369" w:hRule="exact"/>
          <w:jc w:val="center"/>
        </w:trPr>
        <w:tc>
          <w:tcPr>
            <w:tcW w:w="2790" w:type="dxa"/>
            <w:noWrap w:val="0"/>
            <w:vAlign w:val="center"/>
          </w:tcPr>
          <w:p>
            <w:pPr>
              <w:spacing w:line="0" w:lineRule="atLeast"/>
              <w:rPr>
                <w:rFonts w:ascii="宋体" w:hAnsi="宋体" w:cs="宋体"/>
                <w:szCs w:val="21"/>
              </w:rPr>
            </w:pPr>
            <w:r>
              <w:rPr>
                <w:rFonts w:hint="eastAsia" w:ascii="宋体" w:hAnsi="宋体" w:cs="宋体"/>
                <w:szCs w:val="21"/>
                <w:lang w:val="en-US" w:eastAsia="zh-CN"/>
              </w:rPr>
              <w:t>5</w:t>
            </w:r>
            <w:r>
              <w:rPr>
                <w:rFonts w:hint="eastAsia" w:ascii="宋体" w:hAnsi="宋体" w:cs="宋体"/>
                <w:szCs w:val="21"/>
              </w:rPr>
              <w:t>．其他</w:t>
            </w:r>
          </w:p>
        </w:tc>
        <w:tc>
          <w:tcPr>
            <w:tcW w:w="2125" w:type="dxa"/>
            <w:noWrap w:val="0"/>
            <w:vAlign w:val="center"/>
          </w:tcPr>
          <w:p>
            <w:pPr>
              <w:spacing w:line="0" w:lineRule="atLeast"/>
              <w:jc w:val="center"/>
              <w:rPr>
                <w:rFonts w:hint="default" w:ascii="宋体" w:hAnsi="宋体" w:eastAsia="宋体" w:cs="宋体"/>
                <w:szCs w:val="21"/>
                <w:lang w:val="en-US" w:eastAsia="zh-CN"/>
              </w:rPr>
            </w:pPr>
            <w:r>
              <w:rPr>
                <w:rFonts w:hint="eastAsia" w:ascii="宋体" w:hAnsi="宋体" w:cs="宋体"/>
                <w:szCs w:val="21"/>
                <w:lang w:val="en-US" w:eastAsia="zh-CN"/>
              </w:rPr>
              <w:t>500</w:t>
            </w:r>
          </w:p>
        </w:tc>
        <w:tc>
          <w:tcPr>
            <w:tcW w:w="3848" w:type="dxa"/>
            <w:noWrap w:val="0"/>
            <w:vAlign w:val="center"/>
          </w:tcPr>
          <w:p>
            <w:pPr>
              <w:spacing w:line="0" w:lineRule="atLeast"/>
              <w:jc w:val="center"/>
              <w:rPr>
                <w:rFonts w:hint="eastAsia" w:ascii="宋体" w:hAnsi="宋体" w:eastAsia="宋体" w:cs="宋体"/>
                <w:szCs w:val="21"/>
                <w:lang w:val="en-US" w:eastAsia="zh-CN"/>
              </w:rPr>
            </w:pPr>
            <w:r>
              <w:rPr>
                <w:rFonts w:hint="eastAsia" w:ascii="宋体" w:hAnsi="宋体" w:cs="宋体"/>
                <w:szCs w:val="21"/>
                <w:lang w:val="en-US" w:eastAsia="zh-CN"/>
              </w:rPr>
              <w:t>日常办公用品</w:t>
            </w:r>
          </w:p>
        </w:tc>
      </w:tr>
    </w:tbl>
    <w:p>
      <w:pPr>
        <w:numPr>
          <w:ilvl w:val="0"/>
          <w:numId w:val="0"/>
        </w:numPr>
        <w:snapToGrid w:val="0"/>
        <w:rPr>
          <w:rFonts w:hint="default" w:ascii="宋体" w:hAnsi="宋体"/>
          <w:color w:val="000000"/>
          <w:szCs w:val="21"/>
          <w:lang w:val="en-US" w:eastAsia="zh-CN"/>
        </w:rPr>
      </w:pPr>
    </w:p>
    <w:p>
      <w:pPr>
        <w:numPr>
          <w:ilvl w:val="0"/>
          <w:numId w:val="0"/>
        </w:numPr>
        <w:snapToGrid w:val="0"/>
        <w:rPr>
          <w:rFonts w:hint="default" w:ascii="宋体" w:hAnsi="宋体"/>
          <w:color w:val="000000"/>
          <w:szCs w:val="21"/>
          <w:lang w:val="en-US" w:eastAsia="zh-CN"/>
        </w:rPr>
      </w:pPr>
    </w:p>
    <w:p>
      <w:pPr>
        <w:numPr>
          <w:ilvl w:val="0"/>
          <w:numId w:val="0"/>
        </w:numPr>
        <w:snapToGrid w:val="0"/>
        <w:rPr>
          <w:rFonts w:hint="eastAsia" w:ascii="宋体" w:hAnsi="宋体"/>
          <w:color w:val="000000"/>
          <w:szCs w:val="21"/>
          <w:lang w:val="en-US" w:eastAsia="zh-CN"/>
        </w:rPr>
      </w:pPr>
      <w:r>
        <w:rPr>
          <w:rFonts w:hint="eastAsia" w:ascii="宋体" w:hAnsi="宋体"/>
          <w:color w:val="000000"/>
          <w:szCs w:val="21"/>
          <w:lang w:val="en-US" w:eastAsia="zh-CN"/>
        </w:rPr>
        <w:t>问卷调研结果：</w:t>
      </w:r>
    </w:p>
    <w:p>
      <w:pPr>
        <w:numPr>
          <w:ilvl w:val="0"/>
          <w:numId w:val="0"/>
        </w:numPr>
        <w:snapToGrid w:val="0"/>
        <w:ind w:firstLine="420" w:firstLineChars="0"/>
        <w:rPr>
          <w:rFonts w:hint="default" w:ascii="宋体" w:hAnsi="宋体"/>
          <w:color w:val="000000"/>
          <w:szCs w:val="21"/>
          <w:lang w:val="en-US" w:eastAsia="zh-CN"/>
        </w:rPr>
      </w:pPr>
      <w:r>
        <w:rPr>
          <w:rFonts w:hint="eastAsia" w:ascii="宋体" w:hAnsi="宋体"/>
          <w:color w:val="000000"/>
          <w:szCs w:val="21"/>
          <w:lang w:val="en-US" w:eastAsia="zh-CN"/>
        </w:rPr>
        <w:t>所用技术的普及程度：</w:t>
      </w:r>
    </w:p>
    <w:p>
      <w:pPr>
        <w:numPr>
          <w:ilvl w:val="0"/>
          <w:numId w:val="0"/>
        </w:numPr>
        <w:snapToGrid w:val="0"/>
        <w:ind w:firstLine="420" w:firstLineChars="0"/>
      </w:pPr>
      <w:r>
        <w:drawing>
          <wp:inline distT="0" distB="0" distL="114300" distR="114300">
            <wp:extent cx="2837815" cy="1744980"/>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37815" cy="1744980"/>
                    </a:xfrm>
                    <a:prstGeom prst="rect">
                      <a:avLst/>
                    </a:prstGeom>
                    <a:noFill/>
                    <a:ln>
                      <a:noFill/>
                    </a:ln>
                  </pic:spPr>
                </pic:pic>
              </a:graphicData>
            </a:graphic>
          </wp:inline>
        </w:drawing>
      </w:r>
    </w:p>
    <w:p>
      <w:pPr>
        <w:numPr>
          <w:ilvl w:val="0"/>
          <w:numId w:val="0"/>
        </w:numPr>
        <w:snapToGrid w:val="0"/>
        <w:ind w:firstLine="420" w:firstLineChars="0"/>
        <w:rPr>
          <w:rFonts w:hint="default"/>
          <w:lang w:val="en-US" w:eastAsia="zh-CN"/>
        </w:rPr>
      </w:pPr>
      <w:r>
        <w:rPr>
          <w:rFonts w:hint="eastAsia"/>
          <w:lang w:val="en-US" w:eastAsia="zh-CN"/>
        </w:rPr>
        <w:t>大众对虚拟现实技术的用途的认识</w:t>
      </w:r>
    </w:p>
    <w:p>
      <w:pPr>
        <w:numPr>
          <w:ilvl w:val="0"/>
          <w:numId w:val="0"/>
        </w:numPr>
        <w:snapToGrid w:val="0"/>
        <w:ind w:firstLine="420" w:firstLineChars="0"/>
      </w:pPr>
      <w:r>
        <w:drawing>
          <wp:inline distT="0" distB="0" distL="114300" distR="114300">
            <wp:extent cx="3051810" cy="2927985"/>
            <wp:effectExtent l="0" t="0" r="889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51810" cy="2927985"/>
                    </a:xfrm>
                    <a:prstGeom prst="rect">
                      <a:avLst/>
                    </a:prstGeom>
                    <a:noFill/>
                    <a:ln>
                      <a:noFill/>
                    </a:ln>
                  </pic:spPr>
                </pic:pic>
              </a:graphicData>
            </a:graphic>
          </wp:inline>
        </w:drawing>
      </w:r>
    </w:p>
    <w:p>
      <w:pPr>
        <w:numPr>
          <w:ilvl w:val="0"/>
          <w:numId w:val="0"/>
        </w:numPr>
        <w:snapToGrid w:val="0"/>
        <w:ind w:firstLine="420" w:firstLineChars="0"/>
        <w:rPr>
          <w:rFonts w:hint="eastAsia"/>
          <w:lang w:val="en-US" w:eastAsia="zh-CN"/>
        </w:rPr>
      </w:pPr>
      <w:r>
        <w:rPr>
          <w:rFonts w:hint="eastAsia"/>
          <w:lang w:val="en-US" w:eastAsia="zh-CN"/>
        </w:rPr>
        <w:t>大众是否愿意来新疆旅游</w:t>
      </w:r>
    </w:p>
    <w:p>
      <w:pPr>
        <w:numPr>
          <w:ilvl w:val="0"/>
          <w:numId w:val="0"/>
        </w:numPr>
        <w:snapToGrid w:val="0"/>
        <w:ind w:firstLine="420" w:firstLineChars="0"/>
      </w:pPr>
      <w:r>
        <w:drawing>
          <wp:inline distT="0" distB="0" distL="114300" distR="114300">
            <wp:extent cx="2889885" cy="3216275"/>
            <wp:effectExtent l="0" t="0" r="571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89885" cy="3216275"/>
                    </a:xfrm>
                    <a:prstGeom prst="rect">
                      <a:avLst/>
                    </a:prstGeom>
                    <a:noFill/>
                    <a:ln>
                      <a:noFill/>
                    </a:ln>
                  </pic:spPr>
                </pic:pic>
              </a:graphicData>
            </a:graphic>
          </wp:inline>
        </w:drawing>
      </w:r>
    </w:p>
    <w:p>
      <w:pPr>
        <w:numPr>
          <w:ilvl w:val="0"/>
          <w:numId w:val="0"/>
        </w:numPr>
        <w:snapToGrid w:val="0"/>
        <w:ind w:firstLine="420" w:firstLineChars="0"/>
        <w:rPr>
          <w:rFonts w:hint="default" w:eastAsiaTheme="minorEastAsia"/>
          <w:lang w:val="en-US" w:eastAsia="zh-CN"/>
        </w:rPr>
      </w:pPr>
      <w:r>
        <w:rPr>
          <w:rFonts w:hint="eastAsia"/>
          <w:lang w:val="en-US" w:eastAsia="zh-CN"/>
        </w:rPr>
        <w:t>新疆对大众的吸引点</w:t>
      </w:r>
      <w:bookmarkStart w:id="0" w:name="_GoBack"/>
      <w:bookmarkEnd w:id="0"/>
    </w:p>
    <w:p>
      <w:pPr>
        <w:numPr>
          <w:ilvl w:val="0"/>
          <w:numId w:val="0"/>
        </w:numPr>
        <w:snapToGrid w:val="0"/>
        <w:ind w:firstLine="420" w:firstLineChars="0"/>
        <w:rPr>
          <w:rFonts w:hint="default"/>
          <w:lang w:val="en-US" w:eastAsia="zh-CN"/>
        </w:rPr>
      </w:pPr>
      <w:r>
        <w:drawing>
          <wp:inline distT="0" distB="0" distL="114300" distR="114300">
            <wp:extent cx="3279775" cy="3916680"/>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279775" cy="39166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zZGJkNmRiY2MwN2M4NzExZWY1NDUxMDU5NzMxNDUifQ=="/>
  </w:docVars>
  <w:rsids>
    <w:rsidRoot w:val="00000000"/>
    <w:rsid w:val="78BE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widowControl/>
      <w:spacing w:before="100" w:beforeAutospacing="1" w:after="100" w:afterAutospacing="1"/>
      <w:jc w:val="left"/>
    </w:pPr>
    <w:rPr>
      <w:rFonts w:ascii="宋体" w:hAnsi="宋体" w:cs="宋体"/>
      <w:color w:val="000066"/>
      <w:kern w:val="0"/>
      <w:sz w:val="24"/>
    </w:rPr>
  </w:style>
  <w:style w:type="paragraph" w:styleId="3">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2023-10-30T14:37:34Z</dcterms:created>
  <dc:creator>大废</dc:creator>
  <cp:lastModifiedBy>大废</cp:lastModifiedBy>
  <dcterms:modified xsi:type="dcterms:W3CDTF">2023-10-30T15:13:52Z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560C3BD3BF7B4170AB883F772CB80073_12</vt:lpwstr>
  </property>
</Properties>
</file>