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color w:val="4F46E5"/>
          <w:sz w:val="56"/>
          <w:szCs w:val="56"/>
        </w:rPr>
        <w:t xml:space="preserve">YouTube ML Sponsor Detector</w:t>
      </w:r>
    </w:p>
    <w:p>
      <w:pPr>
        <w:pBdr>
          <w:bottom w:val="single" w:color="4F46E5" w:sz="8" w:space="8"/>
        </w:pBdr>
        <w:spacing w:after="80" w:before="0"/>
      </w:pPr>
      <w:r>
        <w:rPr>
          <w:rFonts w:ascii="Arial" w:cs="Arial" w:eastAsia="Arial" w:hAnsi="Arial"/>
          <w:i/>
          <w:iCs/>
          <w:color w:val="6B7280"/>
          <w:sz w:val="34"/>
          <w:szCs w:val="34"/>
        </w:rPr>
        <w:t xml:space="preserve">Training &amp; Evaluation Guide</w:t>
      </w:r>
    </w:p>
    <w:p>
      <w:pPr>
        <w:spacing w:after="80" w:before="0"/>
      </w:pPr>
      <w:r>
        <w:t xml:space="preserve"/>
      </w:r>
    </w:p>
    <w:p>
      <w:pPr>
        <w:spacing w:after="240" w:before="8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This guide explains how to train the bimodal teacher/student model pipeline and evaluate sponsor-detection accuracy against SponsorBlock ground truth. It covers all five phases, from data collection through ONNX export, and describes how to deploy the trained model into the Chrome extension.</w:t>
      </w:r>
    </w:p>
    <w:p>
      <w:pPr>
        <w:pStyle w:val="Heading1"/>
        <w:pBdr>
          <w:bottom w:val="single" w:color="4F46E5" w:sz="6" w:space="6"/>
        </w:pBdr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1  Prerequisites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Local environment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Python 3.9+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Kaggle CLI: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pip install kaggle kagglehub nbformat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yt-dlp + ffmpeg on PATH (required for Phase 1 audio download)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PyTorch, Transformers: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pip install torch transformers soundfile 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Kaggle account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Free Kaggle account at kaggle.com (GPU quota: 30 hrs/week).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Generate an API token at </w:t>
      </w: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kaggle.com/settings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→ API → Generate New Token.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Export credentials before running the bridge: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export KAGGLE_API_TOKEN=&lt;your_token&gt;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export KAGGLE_USERNAME=&lt;your_username&gt;</w:t>
      </w:r>
    </w:p>
    <w:p>
      <w:pPr>
        <w:spacing w:after="8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Edit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_DEFAULT_USERNAME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in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training/kaggle_bridge.py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if you prefer not to set the env var each session.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Phone verification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200"/>
        <w:gridCol w:w="9880"/>
      </w:tblGrid>
      <w:tr>
        <w:tc>
          <w:tcPr>
            <w:tcW w:type="dxa" w:w="200"/>
            <w:tcBorders>
              <w:top w:val="none" w:color="FFFFFF" w:sz="0"/>
              <w:left w:val="single" w:color="F59E0B" w:sz="12"/>
              <w:bottom w:val="none" w:color="FFFFFF" w:sz="0"/>
              <w:right w:val="none" w:color="FFFFFF" w:sz="0"/>
            </w:tcBorders>
            <w:shd w:fill="FFFBE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/>
        </w:tc>
        <w:tc>
          <w:tcPr>
            <w:tcW w:type="dxa" w:w="9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BE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Required for internet access in Kaggle kernels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single" w:color="F59E0B" w:sz="12"/>
              <w:bottom w:val="none" w:color="FFFFFF" w:sz="0"/>
              <w:right w:val="none" w:color="FFFFFF" w:sz="0"/>
            </w:tcBorders>
            <w:shd w:fill="FFFBE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/>
        </w:tc>
        <w:tc>
          <w:tcPr>
            <w:tcW w:type="dxa" w:w="9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BE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2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If Phase 1 fails with a DNS error, verify your phone number at </w:t>
            </w: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kaggle.com/settings/account</w:t>
            </w: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 → Phone Verification. All five phases require internet access inside the kernel.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4F46E5" w:sz="6" w:space="6"/>
        </w:pBdr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2  Training Pipeline Overview</w:t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Training runs in five sequential phases. Each phase is a self-contained Kaggle kernel push. The bridge script (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training/kaggle_bridge.py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) handles bundling, pushing, polling, and fetching outputs automatically.</w:t>
      </w:r>
    </w:p>
    <w:p>
      <w:pPr>
        <w:spacing w:after="8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00"/>
        <w:gridCol w:w="918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 1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EEF2FF"/>
                <w:sz w:val="18"/>
                <w:szCs w:val="18"/>
              </w:rPr>
              <w:t xml:space="preserve">Data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2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Download SponsorBlock CSV, fetch YouTube captions and audio, compute Whisper + DistilBERT embeddings, cache to .npz files. Upload cache to Kaggle Dataset.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00"/>
        <w:gridCol w:w="918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 2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EEF2FF"/>
                <w:sz w:val="18"/>
                <w:szCs w:val="18"/>
              </w:rPr>
              <w:t xml:space="preserve">Baseline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2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Evaluate keyword heuristic accuracy (the rule-based model already in the extension) against SponsorBlock ground truth. Establishes the pre-ML performance floor.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00"/>
        <w:gridCol w:w="918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 3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EEF2FF"/>
                <w:sz w:val="18"/>
                <w:szCs w:val="18"/>
              </w:rPr>
              <w:t xml:space="preserve">Teacher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2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Train the large bimodal teacher model (DistilBERT + Whisper-tiny encoder + CrossAttention + BiLSTM). Saves teacher_best.pt. Upload checkpoint to Kaggle Dataset.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00"/>
        <w:gridCol w:w="918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 4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EEF2FF"/>
                <w:sz w:val="18"/>
                <w:szCs w:val="18"/>
              </w:rPr>
              <w:t xml:space="preserve">Distillation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2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Train the lightweight student model using teacher soft labels (knowledge distillation). Student architecture: keyword CNN + fusion MLP. Saves student_best.pt.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00"/>
        <w:gridCol w:w="918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 5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EEF2FF"/>
                <w:sz w:val="18"/>
                <w:szCs w:val="18"/>
              </w:rPr>
              <w:t xml:space="preserve">Export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2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Export student_best.pt to ONNX with two named inputs (text_input, audio_input). Validates with onnxruntime. Auto-installs model.onnx into the extension folder.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200"/>
        <w:gridCol w:w="9880"/>
      </w:tblGrid>
      <w:tr>
        <w:tc>
          <w:tcPr>
            <w:tcW w:type="dxa" w:w="200"/>
            <w:tcBorders>
              <w:top w:val="none" w:color="FFFFFF" w:sz="0"/>
              <w:left w:val="single" w:color="818CF8" w:sz="12"/>
              <w:bottom w:val="none" w:color="FFFFFF" w:sz="0"/>
              <w:right w:val="none" w:color="FFFFFF" w:sz="0"/>
            </w:tcBorders>
            <w:shd w:fill="EEF2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/>
        </w:tc>
        <w:tc>
          <w:tcPr>
            <w:tcW w:type="dxa" w:w="9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2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Phase dependencies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single" w:color="818CF8" w:sz="12"/>
              <w:bottom w:val="none" w:color="FFFFFF" w:sz="0"/>
              <w:right w:val="none" w:color="FFFFFF" w:sz="0"/>
            </w:tcBorders>
            <w:shd w:fill="EEF2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/>
        </w:tc>
        <w:tc>
          <w:tcPr>
            <w:tcW w:type="dxa" w:w="9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2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2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Phases must be run in order. Phases 2–5 read from the embedding cache produced in Phase 1. Phase 4 reads the teacher checkpoint from Phase 3. The bridge's </w:t>
            </w:r>
            <w:r>
              <w:rPr>
                <w:rFonts w:ascii="Courier New" w:cs="Courier New" w:eastAsia="Courier New" w:hAnsi="Courier New"/>
                <w:b/>
                <w:bCs/>
                <w:color w:val="7C3AED"/>
                <w:sz w:val="20"/>
                <w:szCs w:val="20"/>
              </w:rPr>
              <w:t xml:space="preserve"> --upload-cache </w:t>
            </w: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 and </w:t>
            </w:r>
            <w:r>
              <w:rPr>
                <w:rFonts w:ascii="Courier New" w:cs="Courier New" w:eastAsia="Courier New" w:hAnsi="Courier New"/>
                <w:b/>
                <w:bCs/>
                <w:color w:val="7C3AED"/>
                <w:sz w:val="20"/>
                <w:szCs w:val="20"/>
              </w:rPr>
              <w:t xml:space="preserve"> --upload-teacher-ckpt </w:t>
            </w: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 flags handle the inter-phase Kaggle Dataset uploads.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4F46E5" w:sz="6" w:space="6"/>
        </w:pBdr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3  Running the Phases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3.1  Dry-run first</w:t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Before consuming any GPU quota, validate credentials, source bundling, and notebook generation locally: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Validate any phase without touching Kaggle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training/kaggle_bridge.py \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--config training/configs/phase3_teacher.json \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--dry-run</w:t>
      </w:r>
    </w:p>
    <w:p>
      <w:pPr>
        <w:spacing w:after="8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The dry run writes a generated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.ipynb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kernel-metadata.json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to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training/kaggle_outputs/dry_run/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so you can inspect the notebook before pushing.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3.2  Phase 1 — Data collection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training/kaggle_bridge.py \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--config training/configs/phase1_data.json \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--gpu \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--upload-cache</w:t>
      </w:r>
    </w:p>
    <w:p>
      <w:pPr>
        <w:spacing w:after="8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What happens: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The kernel downloads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sponsorTimes.csv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(~2–4 GB) from the SponsorBlock public mirror.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It samples 300 random videos (configurable via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n_videos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), fetches captions and audio-only streams with yt-dlp, slices segments with ffmpeg, runs Whisper-tiny and DistilBERT, and saves a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.npz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per video.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Outputs are fetched to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training/outputs/data/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With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--upload-cache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, the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.npz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files are uploaded to a Kaggle Dataset (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yt-sponsor-embeddings-cache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) for subsequent phases to mount.</w:t>
      </w:r>
    </w:p>
    <w:p>
      <w:pPr>
        <w:spacing w:after="8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Tip: use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"skip_audio": true </w:t>
      </w: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 in phase1_data.json for a fast text-only test run (≲1 hour instead of 6+).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3.3  Phase 2 — Baseline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training/kaggle_bridge.py \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--config training/configs/phase2_baseline.json</w:t>
      </w:r>
    </w:p>
    <w:p>
      <w:pPr>
        <w:spacing w:after="8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Evaluates the keyword heuristic on the held-out test split. Results are written to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training_log.json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and routed locally to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training/outputs/baseline/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. No GPU needed.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3.4  Phase 3 — Teacher training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training/kaggle_bridge.py \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--config training/configs/phase3_teacher.json \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--gpu \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--upload-teacher-ckpt</w:t>
      </w:r>
    </w:p>
    <w:p>
      <w:pPr>
        <w:spacing w:after="8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Trains the TeacherModel for up to 30 epochs with early stopping (patience=5). A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ReduceLROnPlateau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scheduler halves the LR if validation loss stalls for 3 epochs.</w:t>
      </w:r>
    </w:p>
    <w:p>
      <w:pPr>
        <w:spacing w:after="8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Outputs: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teacher_best.pt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training_log.json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training/outputs/teacher/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With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--upload-teacher-ckpt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teacher_best.pt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is uploaded to the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yt-sponsor-teacher-checkpoint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Kaggle Dataset for Phase 4.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3.5  Phase 4 — Knowledge distillation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training/kaggle_bridge.py \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--config training/configs/phase4_distill.json \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--gpu</w:t>
      </w:r>
    </w:p>
    <w:p>
      <w:pPr>
        <w:spacing w:after="8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Trains the StudentModel under knowledge distillation from the teacher: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Teacher soft labels are collected at temperature T=4 before student training begins.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Loss = 0.7 × KL divergence(teacher soft || student soft) + 0.3 × Focal Loss(student, hard label).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Focal Loss (γ=2, α=0.25) down-weights easy negatives (the dominant class in most videos).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Output: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student_best.pt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training/outputs/distill/ 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3.6  Phase 5 — ONNX export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training/kaggle_bridge.py \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--config training/configs/phase5_export.json</w:t>
      </w:r>
    </w:p>
    <w:p>
      <w:pPr>
        <w:spacing w:after="8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Exports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student_best.pt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to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model.onnx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with two named inputs:</w:t>
      </w:r>
    </w:p>
    <w:p>
      <w:pPr>
        <w:spacing w:after="80" w:before="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5280"/>
      </w:tblGrid>
      <w:tr>
        <w:trPr>
          <w:tblHeader/>
        </w:trP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Input name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Shape</w:t>
            </w:r>
          </w:p>
        </w:tc>
        <w:tc>
          <w:tcPr>
            <w:tcW w:type="dxa" w:w="5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text_input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float32 [1, 64]</w:t>
            </w:r>
          </w:p>
        </w:tc>
        <w:tc>
          <w:tcPr>
            <w:tcW w:type="dxa" w:w="5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64-dim keyword indicator vector (KeywordFeatureExtractor)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audio_input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float32 [1, 30, 13]</w:t>
            </w:r>
          </w:p>
        </w:tc>
        <w:tc>
          <w:tcPr>
            <w:tcW w:type="dxa" w:w="5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30 MFCC frames × 13 coefficients (MFCCExtractor.getFrameBuffer)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output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float32 [1, 1]</w:t>
            </w:r>
          </w:p>
        </w:tc>
        <w:tc>
          <w:tcPr>
            <w:tcW w:type="dxa" w:w="5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Sponsor confidence score in [0, 1]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The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n_frames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axis is dynamic, so the model accepts any sequence length at runtime. The extension always sends 30 frames.</w:t>
      </w:r>
    </w:p>
    <w:p>
      <w:pPr>
        <w:spacing w:after="8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200"/>
        <w:gridCol w:w="9880"/>
      </w:tblGrid>
      <w:tr>
        <w:tc>
          <w:tcPr>
            <w:tcW w:type="dxa" w:w="200"/>
            <w:tcBorders>
              <w:top w:val="none" w:color="FFFFFF" w:sz="0"/>
              <w:left w:val="single" w:color="10B981" w:sz="12"/>
              <w:bottom w:val="none" w:color="FFFFFF" w:sz="0"/>
              <w:right w:val="none" w:color="FFFFFF" w:sz="0"/>
            </w:tcBorders>
            <w:shd w:fill="ECFD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/>
        </w:tc>
        <w:tc>
          <w:tcPr>
            <w:tcW w:type="dxa" w:w="9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CFD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Auto-deployment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single" w:color="10B981" w:sz="12"/>
              <w:bottom w:val="none" w:color="FFFFFF" w:sz="0"/>
              <w:right w:val="none" w:color="FFFFFF" w:sz="0"/>
            </w:tcBorders>
            <w:shd w:fill="ECFD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/>
        </w:tc>
        <w:tc>
          <w:tcPr>
            <w:tcW w:type="dxa" w:w="9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CFD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2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The bridge automatically copies </w:t>
            </w:r>
            <w:r>
              <w:rPr>
                <w:rFonts w:ascii="Courier New" w:cs="Courier New" w:eastAsia="Courier New" w:hAnsi="Courier New"/>
                <w:b/>
                <w:bCs/>
                <w:color w:val="7C3AED"/>
                <w:sz w:val="20"/>
                <w:szCs w:val="20"/>
              </w:rPr>
              <w:t xml:space="preserve"> model.onnx </w:t>
            </w: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 from </w:t>
            </w:r>
            <w:r>
              <w:rPr>
                <w:rFonts w:ascii="Courier New" w:cs="Courier New" w:eastAsia="Courier New" w:hAnsi="Courier New"/>
                <w:b/>
                <w:bCs/>
                <w:color w:val="7C3AED"/>
                <w:sz w:val="20"/>
                <w:szCs w:val="20"/>
              </w:rPr>
              <w:t xml:space="preserve"> training/outputs/export/ </w:t>
            </w: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 to </w:t>
            </w:r>
            <w:r>
              <w:rPr>
                <w:rFonts w:ascii="Courier New" w:cs="Courier New" w:eastAsia="Courier New" w:hAnsi="Courier New"/>
                <w:b/>
                <w:bCs/>
                <w:color w:val="7C3AED"/>
                <w:sz w:val="20"/>
                <w:szCs w:val="20"/>
              </w:rPr>
              <w:t xml:space="preserve"> youtube-ml-sponsor-detector/model.onnx </w:t>
            </w: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 when the folder exists. Reload the unpacked extension in Chrome to activate the trained model.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4F46E5" w:sz="6" w:space="6"/>
        </w:pBdr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4  Configuration Reference</w:t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All five phase configs live in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training/configs/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. Key parameters: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Phase 1 — Data (phase1_data.json)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5980"/>
      </w:tblGrid>
      <w:tr>
        <w:trPr>
          <w:tblHeader/>
        </w:trPr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Key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Default</w:t>
            </w:r>
          </w:p>
        </w:tc>
        <w:tc>
          <w:tcPr>
            <w:tcW w:type="dxa" w:w="59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n_videos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300</w:t>
            </w:r>
          </w:p>
        </w:tc>
        <w:tc>
          <w:tcPr>
            <w:tcW w:type="dxa" w:w="59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Max videos to embed. 300 videos ≈ 6–8 hours on a Kaggle GPU with audio.</w:t>
            </w:r>
          </w:p>
        </w:tc>
      </w:tr>
      <w:tr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skip_audio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false</w:t>
            </w:r>
          </w:p>
        </w:tc>
        <w:tc>
          <w:tcPr>
            <w:tcW w:type="dxa" w:w="59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Skip yt-dlp + Whisper. Text-only embeddings; ≤15 min. Reduces model accuracy.</w:t>
            </w:r>
          </w:p>
        </w:tc>
      </w:tr>
      <w:tr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min_votes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3</w:t>
            </w:r>
          </w:p>
        </w:tc>
        <w:tc>
          <w:tcPr>
            <w:tcW w:type="dxa" w:w="59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Minimum SponsorBlock community votes to trust a segment.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Phase 3 — Teacher (phase3_teacher.json)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6280"/>
      </w:tblGrid>
      <w:tr>
        <w:trPr>
          <w:tblHeader/>
        </w:trP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Key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Default</w:t>
            </w:r>
          </w:p>
        </w:tc>
        <w:tc>
          <w:tcPr>
            <w:tcW w:type="dxa" w:w="6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epochs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30</w:t>
            </w:r>
          </w:p>
        </w:tc>
        <w:tc>
          <w:tcPr>
            <w:tcW w:type="dxa" w:w="6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Maximum training epochs. Early stopping typically fires at 10–20.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batch_size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64</w:t>
            </w:r>
          </w:p>
        </w:tc>
        <w:tc>
          <w:tcPr>
            <w:tcW w:type="dxa" w:w="6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Windows per batch. Reduce to 32 if GPU OOM.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lr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1e-3</w:t>
            </w:r>
          </w:p>
        </w:tc>
        <w:tc>
          <w:tcPr>
            <w:tcW w:type="dxa" w:w="6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AdamW learning rate.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patience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5</w:t>
            </w:r>
          </w:p>
        </w:tc>
        <w:tc>
          <w:tcPr>
            <w:tcW w:type="dxa" w:w="6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Early stopping patience (epochs without val_loss improvement).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focal_gamma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2.0</w:t>
            </w:r>
          </w:p>
        </w:tc>
        <w:tc>
          <w:tcPr>
            <w:tcW w:type="dxa" w:w="6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Focal loss focusing exponent. Higher = more focus on hard negatives.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focal_alpha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0.25</w:t>
            </w:r>
          </w:p>
        </w:tc>
        <w:tc>
          <w:tcPr>
            <w:tcW w:type="dxa" w:w="6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Focal loss positive weight. Lower values down-weight sponsor windows.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Phase 4 — Distillation (phase4_distill.json)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5980"/>
      </w:tblGrid>
      <w:tr>
        <w:trPr>
          <w:tblHeader/>
        </w:trPr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Key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Default</w:t>
            </w:r>
          </w:p>
        </w:tc>
        <w:tc>
          <w:tcPr>
            <w:tcW w:type="dxa" w:w="59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kd_temperature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4.0</w:t>
            </w:r>
          </w:p>
        </w:tc>
        <w:tc>
          <w:tcPr>
            <w:tcW w:type="dxa" w:w="59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Softening temperature T. Higher T = softer distributions = more transfer.</w:t>
            </w:r>
          </w:p>
        </w:tc>
      </w:tr>
      <w:tr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kd_alpha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0.7</w:t>
            </w:r>
          </w:p>
        </w:tc>
        <w:tc>
          <w:tcPr>
            <w:tcW w:type="dxa" w:w="59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Weight of the KD term (0–1). Remaining (1−α) goes to Focal Loss.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4F46E5" w:sz="6" w:space="6"/>
        </w:pBdr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5  Evaluation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5.1  Metrics</w:t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The training loop reports four metrics after each epoch and in the final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training_log.json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:</w:t>
      </w:r>
    </w:p>
    <w:p>
      <w:pPr>
        <w:spacing w:after="80" w:before="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300"/>
        <w:gridCol w:w="2580"/>
      </w:tblGrid>
      <w:tr>
        <w:trPr>
          <w:tblHeader/>
        </w:trP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Metric</w:t>
            </w:r>
          </w:p>
        </w:tc>
        <w:tc>
          <w:tcPr>
            <w:tcW w:type="dxa" w:w="5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Definition</w:t>
            </w:r>
          </w:p>
        </w:tc>
        <w:tc>
          <w:tcPr>
            <w:tcW w:type="dxa" w:w="25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Target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Precision</w:t>
            </w:r>
          </w:p>
        </w:tc>
        <w:tc>
          <w:tcPr>
            <w:tcW w:type="dxa" w:w="5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Of the windows flagged as sponsor, what fraction actually were?</w:t>
            </w:r>
          </w:p>
        </w:tc>
        <w:tc>
          <w:tcPr>
            <w:tcW w:type="dxa" w:w="25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≥ 0.80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Recall</w:t>
            </w:r>
          </w:p>
        </w:tc>
        <w:tc>
          <w:tcPr>
            <w:tcW w:type="dxa" w:w="5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Of the actual sponsor windows, what fraction did we catch?</w:t>
            </w:r>
          </w:p>
        </w:tc>
        <w:tc>
          <w:tcPr>
            <w:tcW w:type="dxa" w:w="25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≥ 0.70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F1</w:t>
            </w:r>
          </w:p>
        </w:tc>
        <w:tc>
          <w:tcPr>
            <w:tcW w:type="dxa" w:w="5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Harmonic mean of precision and recall.</w:t>
            </w:r>
          </w:p>
        </w:tc>
        <w:tc>
          <w:tcPr>
            <w:tcW w:type="dxa" w:w="25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≥ 0.75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Accuracy</w:t>
            </w:r>
          </w:p>
        </w:tc>
        <w:tc>
          <w:tcPr>
            <w:tcW w:type="dxa" w:w="5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Fraction of all windows (sponsor + non-sponsor) correctly classified.</w:t>
            </w:r>
          </w:p>
        </w:tc>
        <w:tc>
          <w:tcPr>
            <w:tcW w:type="dxa" w:w="25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N/A (biased by class imbalance)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200"/>
        <w:gridCol w:w="9880"/>
      </w:tblGrid>
      <w:tr>
        <w:tc>
          <w:tcPr>
            <w:tcW w:type="dxa" w:w="200"/>
            <w:tcBorders>
              <w:top w:val="none" w:color="FFFFFF" w:sz="0"/>
              <w:left w:val="single" w:color="F59E0B" w:sz="12"/>
              <w:bottom w:val="none" w:color="FFFFFF" w:sz="0"/>
              <w:right w:val="none" w:color="FFFFFF" w:sz="0"/>
            </w:tcBorders>
            <w:shd w:fill="FFFBE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/>
        </w:tc>
        <w:tc>
          <w:tcPr>
            <w:tcW w:type="dxa" w:w="9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BE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Class imbalance note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single" w:color="F59E0B" w:sz="12"/>
              <w:bottom w:val="none" w:color="FFFFFF" w:sz="0"/>
              <w:right w:val="none" w:color="FFFFFF" w:sz="0"/>
            </w:tcBorders>
            <w:shd w:fill="FFFBE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/>
        </w:tc>
        <w:tc>
          <w:tcPr>
            <w:tcW w:type="dxa" w:w="9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BE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2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Most videos have very few sponsor windows relative to content windows. Accuracy is therefore dominated by non-sponsor windows and is not a useful primary metric. Focus on F1 or precision/recall independently depending on your tolerance for false positives vs. missed segments.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5.2  Benchmark against SponsorBlock</w:t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For segment-level evaluation (time-based rather than window-based), use the existing benchmark script: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cd youtube-sponsor-speeder/test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Evaluate against 50 random SponsorBlock videos (API mode)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python3 benchmark.py --db --sample 50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Larger evaluation with parallel fetches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python3 benchmark.py --db --sample 500 --workers 5 --quiet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Test specific videos by ID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python3 benchmark.py VIDEO_ID1 VIDEO_ID2</w:t>
      </w:r>
    </w:p>
    <w:p>
      <w:pPr>
        <w:spacing w:after="8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The benchmark reports: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Precision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— of the time flagged as sponsor, how much actually was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Recall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— of the real sponsor time, how much was caught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IoU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— intersection-over-union, overall overlap quality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Segment-level coverage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— per ground-truth segment, what percentage was covered</w:t>
      </w:r>
    </w:p>
    <w:p>
      <w:pPr>
        <w:spacing w:after="8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Results are saved to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benchmark-results.json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5.3  Reading training_log.json</w:t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Every phase writes a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training_log.json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to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training/outputs/&lt;phase&gt;/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. Structure: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{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"phase": "distill",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"best_epoch": 14,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"best_val_loss": 0.2341,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"epochs": [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{ "epoch": 1, "train_loss": 0.51, "train_acc": 0.82,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"val_loss": 0.44, "val_acc": 0.84 },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...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]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}</w:t>
      </w:r>
    </w:p>
    <w:p>
      <w:pPr>
        <w:spacing w:after="8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If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best_val_loss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is not improving across multiple runs, try: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Increasing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n_videos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in Phase 1 (more data usually helps most)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Raising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kd_temperature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to 6–8 (softer teacher signal)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Lowering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lr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to 5e-4 for finer convergence</w:t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4F46E5" w:sz="6" w:space="6"/>
        </w:pBdr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6  Deploying to the Extension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6.1  ONNX Runtime Web setup</w:t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The extension uses ONNX Runtime Web (ort.js) for in-browser inference. It is not bundled. Download it separately: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Download ort.min.js into the extension folder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curl -L https://cdn.jsdelivr.net/npm/onnxruntime-web/dist/ort.min.js \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-o youtube-ml-sponsor-detector/ort.min.js</w:t>
      </w:r>
    </w:p>
    <w:p>
      <w:pPr>
        <w:spacing w:after="8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Then add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ort.min.js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to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manifest.json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in the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content_scripts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array, </w:t>
      </w: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before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feature-extractor.js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: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"js": [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"ort.min.js",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"feature-extractor.js",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"ml-detector.js",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"content.js"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]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6.2  Installing the trained model</w:t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After Phase 5 completes the bridge auto-copies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model.onnx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to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youtube-ml-sponsor-detector/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. Verify: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ls -lh youtube-ml-sponsor-detector/model.onnx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Expect: ~200–400 KB</w:t>
      </w:r>
    </w:p>
    <w:p>
      <w:pPr>
        <w:spacing w:after="8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Both files must be present before reloading: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youtube-ml-sponsor-detector/model.onnx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youtube-ml-sponsor-detector/ort.min.js 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6.3  Reloading the extension in Chrome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Open 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Open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chrome://extensions 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Find "YouTube ML Sponsor Detector" and click the refresh icon.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Open any YouTube video. Open the browser console and look for: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[ML Detector] Loaded ONNX model.</w:t>
      </w:r>
    </w:p>
    <w:p>
      <w:pPr>
        <w:shd w:fill="1E1E1E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[ML Detector] Active. Backend: ONNX model.</w:t>
      </w:r>
    </w:p>
    <w:p>
      <w:pPr>
        <w:spacing w:after="8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If you see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[ML Detector] Using built-in heuristic MLP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instead, either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model.onnx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or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ort.min.js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is missing, or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manifest.json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was not updated.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6.4  Confidence threshold tuning</w:t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The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ENTRY_THRESHOLD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in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ml-detector.js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controls how confident the model must be before seeking/speeding. The default is </w:t>
      </w: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0.85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.</w:t>
      </w:r>
    </w:p>
    <w:p>
      <w:pPr>
        <w:spacing w:after="80" w:before="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tblHeader/>
        </w:trP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Threshold</w:t>
            </w:r>
          </w:p>
        </w:tc>
        <w:tc>
          <w:tcPr>
            <w:tcW w:type="dxa" w:w="8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Behaviour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0.90+</w:t>
            </w:r>
          </w:p>
        </w:tc>
        <w:tc>
          <w:tcPr>
            <w:tcW w:type="dxa" w:w="8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Very conservative. Misses more sponsors but almost no false positives.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0.85 (default)</w:t>
            </w:r>
          </w:p>
        </w:tc>
        <w:tc>
          <w:tcPr>
            <w:tcW w:type="dxa" w:w="8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Balanced. Recommended starting point after training.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0.75–0.80</w:t>
            </w:r>
          </w:p>
        </w:tc>
        <w:tc>
          <w:tcPr>
            <w:tcW w:type="dxa" w:w="8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More aggressive. Catches more sponsors but may skip non-sponsor content.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&lt; 0.70</w:t>
            </w:r>
          </w:p>
        </w:tc>
        <w:tc>
          <w:tcPr>
            <w:tcW w:type="dxa" w:w="8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Not recommended — high false-positive rate even with a trained model.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Edit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static ENTRY_THRESHOLD = 0.85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in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ml-detector.js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and reload the extension to apply a different threshold. No retraining required.</w:t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4F46E5" w:sz="6" w:space="6"/>
        </w:pBdr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7  Troubleshooting</w:t>
      </w:r>
    </w:p>
    <w:p>
      <w:pPr>
        <w:spacing w:after="80" w:before="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4280"/>
      </w:tblGrid>
      <w:tr>
        <w:trPr>
          <w:tblHeader/>
        </w:trP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Symptom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Likely cause</w:t>
            </w:r>
          </w:p>
        </w:tc>
        <w:tc>
          <w:tcPr>
            <w:tcW w:type="dxa" w:w="4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2"/>
                <w:szCs w:val="22"/>
              </w:rPr>
              <w:t xml:space="preserve">Fix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Kernel fails with DNS error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Phone not verified on Kaggle</w:t>
            </w:r>
          </w:p>
        </w:tc>
        <w:tc>
          <w:tcPr>
            <w:tcW w:type="dxa" w:w="4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Verify phone at kaggle.com/settings/account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Phase 1 produces 0 .npz files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yt-dlp blocked or ffmpeg missing in kernel</w:t>
            </w:r>
          </w:p>
        </w:tc>
        <w:tc>
          <w:tcPr>
            <w:tcW w:type="dxa" w:w="4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Set skip_audio: true in phase1_data.json for a text-only run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Phase 4 val_loss doesn’t improve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Too few training videos</w:t>
            </w:r>
          </w:p>
        </w:tc>
        <w:tc>
          <w:tcPr>
            <w:tcW w:type="dxa" w:w="4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Increase n_videos to 500+ and re-run Phase 1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model.onnx not auto-copied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extension folder path not found</w:t>
            </w:r>
          </w:p>
        </w:tc>
        <w:tc>
          <w:tcPr>
            <w:tcW w:type="dxa" w:w="4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Check that youtube-ml-sponsor-detector/ exists at repo root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Heuristic MLP used after reload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ort.min.js not in manifest content_scripts</w:t>
            </w:r>
          </w:p>
        </w:tc>
        <w:tc>
          <w:tcPr>
            <w:tcW w:type="dxa" w:w="4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Add ort.min.js before feature-extractor.js in manifest.json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High false positives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Threshold too low or model underfit</w:t>
            </w:r>
          </w:p>
        </w:tc>
        <w:tc>
          <w:tcPr>
            <w:tcW w:type="dxa" w:w="4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1F2937"/>
                <w:sz w:val="22"/>
                <w:szCs w:val="22"/>
              </w:rPr>
              <w:t xml:space="preserve">Raise ENTRY_THRESHOLD to 0.90 or train with more data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pBdr>
          <w:top w:val="single" w:color="D1D5DB" w:sz="4" w:space="6"/>
        </w:pBdr>
        <w:spacing w:after="0" w:before="1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For questions or issues, check the browser console for </w:t>
      </w:r>
      <w:r>
        <w:rPr>
          <w:rFonts w:ascii="Courier New" w:cs="Courier New" w:eastAsia="Courier New" w:hAnsi="Courier New"/>
          <w:b/>
          <w:bCs/>
          <w:color w:val="7C3AED"/>
          <w:sz w:val="20"/>
          <w:szCs w:val="20"/>
        </w:rPr>
        <w:t xml:space="preserve"> [ML Detector]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 logs. The heuristic fallback always runs even without a trained model, so the extension remains functional during development.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1D5DB" w:sz="4" w:space="4"/>
      </w:pBdr>
      <w:spacing w:before="0"/>
      <w:jc w:val="right"/>
    </w:pPr>
    <w:r>
      <w:rPr>
        <w:rFonts w:ascii="Arial" w:cs="Arial" w:eastAsia="Arial" w:hAnsi="Arial"/>
        <w:color w:val="6B7280"/>
        <w:sz w:val="16"/>
        <w:szCs w:val="16"/>
      </w:rPr>
      <w:t xml:space="preserve">video-ad-auto-skip / training/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7280"/>
        <w:sz w:val="16"/>
        <w:szCs w:val="16"/>
      </w:rPr>
      <w:t xml:space="preserve">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D5DB" w:sz="4" w:space="4"/>
      </w:pBdr>
      <w:spacing w:after="0"/>
    </w:pPr>
    <w:r>
      <w:rPr>
        <w:rFonts w:ascii="Arial" w:cs="Arial" w:eastAsia="Arial" w:hAnsi="Arial"/>
        <w:color w:val="6B7280"/>
        <w:sz w:val="18"/>
        <w:szCs w:val="18"/>
      </w:rPr>
      <w:t xml:space="preserve">YouTube ML Sponsor Detector</w:t>
    </w:r>
    <w:r>
      <w:rPr>
        <w:rFonts w:ascii="Arial" w:cs="Arial" w:eastAsia="Arial" w:hAnsi="Arial"/>
        <w:i/>
        <w:iCs/>
        <w:color w:val="6B7280"/>
        <w:sz w:val="18"/>
        <w:szCs w:val="18"/>
      </w:rPr>
      <w:t xml:space="preserve">  ·  Training &amp; Evaluation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4F46E5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1F293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F293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2026-04-26T18:50:02.933Z</dcterms:created>
  <dcterms:modified xsi:type="dcterms:W3CDTF">2026-04-26T18:50:02.933Z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