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Knowledge flow tree</w:t>
        <w:br w:type="textWrapping"/>
        <w:t xml:space="preserve">Arff loader-&gt;class assigner-&gt;crossvalidation fold maker-&gt;j48-&gt;classifier performance evaluator-&gt;text viewer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 all instances in which the humidity attribute has the value high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Removewithvalues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 instances with indices number 3, 7 and 9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Removerange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Deter min e t w o m o s t f r e q u e n t v alu e s wit h a t t rib u t e o u tlo o k a n d r e t ain it a n d filt e r all o t h e r r e m ainin g in s t a n c e s.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Removefrequentvalues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out classifiers in weka.classifier.tree with maximum RemoveMissclassified and minimum RemoveMissclassified instances (use diabetes.arff dataset).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Removemissclassified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Reorder attributes such a way that humidity act as class attribute. (hint: By default last attribute treated as class attribute and use reorder unsupervised attribute filter )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Reorder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Filter the instances of the following expressions: a. Temperature &gt;=75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Removewithvalues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Filter 80% samples of the instances.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Removepercentage</w:t>
        <w:br w:type="textWrapping"/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Reshuffle the original order of instances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Resample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 temperature attribute in degree Fahrenheit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Math.expression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o n v e r t t e m p e r a t u r e in t h r e e n o min al v alu e s (lo w, m e diu m a n d hig h ). U s e d a t a dis c r e tiz a tio n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discretization-&gt;renamenomialvalues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Marge any two similar numeric types attribute into new attributes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Split dataset into training (80%)and testing(20%) part and save both splits in different folds in directory location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Traintestsplitmaker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