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65058995"/>
        <w:docPartObj>
          <w:docPartGallery w:val="Cover Pages"/>
          <w:docPartUnique/>
        </w:docPartObj>
      </w:sdtPr>
      <w:sdtEndPr>
        <w:rPr>
          <w:rFonts w:ascii="Arial" w:hAnsi="Arial"/>
          <w:b/>
          <w:color w:val="auto"/>
          <w:sz w:val="36"/>
        </w:rPr>
      </w:sdtEndPr>
      <w:sdtContent>
        <w:p w14:paraId="6507A42C" w14:textId="79E5EE12" w:rsidR="00D62597" w:rsidRDefault="00D62597">
          <w:pPr>
            <w:pStyle w:val="NoSpacing"/>
            <w:spacing w:before="1540" w:after="240"/>
            <w:jc w:val="center"/>
            <w:rPr>
              <w:color w:val="4F81BD" w:themeColor="accent1"/>
            </w:rPr>
          </w:pPr>
          <w:r>
            <w:rPr>
              <w:noProof/>
              <w:color w:val="4F81BD" w:themeColor="accent1"/>
            </w:rPr>
            <w:drawing>
              <wp:inline distT="0" distB="0" distL="0" distR="0" wp14:anchorId="4ADF1765" wp14:editId="6B914F9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F81BD" w:themeColor="accent1"/>
              <w:sz w:val="72"/>
              <w:szCs w:val="72"/>
            </w:rPr>
            <w:alias w:val="Title"/>
            <w:tag w:val=""/>
            <w:id w:val="1735040861"/>
            <w:placeholder>
              <w:docPart w:val="68B57A3345AC410093AF824BAFBE672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1321435" w14:textId="598B1E0D" w:rsidR="00D62597" w:rsidRDefault="00D62597">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Pr>
                  <w:rFonts w:asciiTheme="majorHAnsi" w:eastAsiaTheme="majorEastAsia" w:hAnsiTheme="majorHAnsi" w:cstheme="majorBidi"/>
                  <w:caps/>
                  <w:color w:val="4F81BD" w:themeColor="accent1"/>
                  <w:sz w:val="72"/>
                  <w:szCs w:val="72"/>
                </w:rPr>
                <w:t>AGRIBUSINESS  DATA ANALYTICS</w:t>
              </w:r>
            </w:p>
          </w:sdtContent>
        </w:sdt>
        <w:sdt>
          <w:sdtPr>
            <w:rPr>
              <w:color w:val="4F81BD" w:themeColor="accent1"/>
              <w:sz w:val="28"/>
              <w:szCs w:val="28"/>
            </w:rPr>
            <w:alias w:val="Subtitle"/>
            <w:tag w:val=""/>
            <w:id w:val="328029620"/>
            <w:placeholder>
              <w:docPart w:val="77FC0C2F30E14850BB5A4DFB9550242F"/>
            </w:placeholder>
            <w:dataBinding w:prefixMappings="xmlns:ns0='http://purl.org/dc/elements/1.1/' xmlns:ns1='http://schemas.openxmlformats.org/package/2006/metadata/core-properties' " w:xpath="/ns1:coreProperties[1]/ns0:subject[1]" w:storeItemID="{6C3C8BC8-F283-45AE-878A-BAB7291924A1}"/>
            <w:text/>
          </w:sdtPr>
          <w:sdtContent>
            <w:p w14:paraId="293E287F" w14:textId="55857DD1" w:rsidR="00D62597" w:rsidRDefault="00D62597">
              <w:pPr>
                <w:pStyle w:val="NoSpacing"/>
                <w:jc w:val="center"/>
                <w:rPr>
                  <w:color w:val="4F81BD" w:themeColor="accent1"/>
                  <w:sz w:val="28"/>
                  <w:szCs w:val="28"/>
                </w:rPr>
              </w:pPr>
              <w:r>
                <w:rPr>
                  <w:color w:val="4F81BD" w:themeColor="accent1"/>
                  <w:sz w:val="28"/>
                  <w:szCs w:val="28"/>
                </w:rPr>
                <w:t xml:space="preserve"> REPORT TYPE</w:t>
              </w:r>
            </w:p>
          </w:sdtContent>
        </w:sdt>
        <w:p w14:paraId="50A451B3" w14:textId="7F28CFEE" w:rsidR="00D62597" w:rsidRDefault="00D62597">
          <w:pPr>
            <w:pStyle w:val="NoSpacing"/>
            <w:spacing w:before="480"/>
            <w:jc w:val="center"/>
            <w:rPr>
              <w:color w:val="4F81BD" w:themeColor="accent1"/>
            </w:rPr>
          </w:pPr>
          <w:r>
            <w:rPr>
              <w:noProof/>
              <w:color w:val="4F81BD" w:themeColor="accent1"/>
            </w:rPr>
            <w:drawing>
              <wp:inline distT="0" distB="0" distL="0" distR="0" wp14:anchorId="23E4FBC4" wp14:editId="0EB664C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181869" w14:textId="5BBDD27F" w:rsidR="00D62597" w:rsidRDefault="00D62597">
          <w:pPr>
            <w:spacing w:after="200"/>
            <w:rPr>
              <w:b/>
              <w:sz w:val="36"/>
            </w:rPr>
          </w:pPr>
          <w:r>
            <w:rPr>
              <w:noProof/>
              <w:color w:val="4F81BD" w:themeColor="accent1"/>
            </w:rPr>
            <mc:AlternateContent>
              <mc:Choice Requires="wps">
                <w:drawing>
                  <wp:anchor distT="0" distB="0" distL="114300" distR="114300" simplePos="0" relativeHeight="251657728" behindDoc="0" locked="0" layoutInCell="1" allowOverlap="1" wp14:anchorId="40A71BC9" wp14:editId="0456C5A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853440"/>
                    <wp:effectExtent l="0" t="0" r="15240" b="3810"/>
                    <wp:wrapNone/>
                    <wp:docPr id="142" name="Text Box 146"/>
                    <wp:cNvGraphicFramePr/>
                    <a:graphic xmlns:a="http://schemas.openxmlformats.org/drawingml/2006/main">
                      <a:graphicData uri="http://schemas.microsoft.com/office/word/2010/wordprocessingShape">
                        <wps:wsp>
                          <wps:cNvSpPr txBox="1"/>
                          <wps:spPr>
                            <a:xfrm>
                              <a:off x="0" y="0"/>
                              <a:ext cx="6553200" cy="8534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B7B180C" w14:textId="4F168FF3" w:rsidR="00D62597" w:rsidRPr="00D62597" w:rsidRDefault="00D62597">
                                    <w:pPr>
                                      <w:pStyle w:val="NoSpacing"/>
                                      <w:spacing w:after="40"/>
                                      <w:jc w:val="center"/>
                                      <w:rPr>
                                        <w:caps/>
                                        <w:color w:val="4F81BD" w:themeColor="accent1"/>
                                        <w:sz w:val="32"/>
                                        <w:szCs w:val="32"/>
                                      </w:rPr>
                                    </w:pPr>
                                    <w:r w:rsidRPr="00D62597">
                                      <w:rPr>
                                        <w:caps/>
                                        <w:color w:val="4F81BD" w:themeColor="accent1"/>
                                        <w:sz w:val="32"/>
                                        <w:szCs w:val="32"/>
                                      </w:rPr>
                                      <w:t>WEE</w:t>
                                    </w:r>
                                    <w:r w:rsidR="000667CA">
                                      <w:rPr>
                                        <w:caps/>
                                        <w:color w:val="4F81BD" w:themeColor="accent1"/>
                                        <w:sz w:val="32"/>
                                        <w:szCs w:val="32"/>
                                      </w:rPr>
                                      <w:t>K</w:t>
                                    </w:r>
                                    <w:r w:rsidRPr="00D62597">
                                      <w:rPr>
                                        <w:caps/>
                                        <w:color w:val="4F81BD" w:themeColor="accent1"/>
                                        <w:sz w:val="32"/>
                                        <w:szCs w:val="32"/>
                                      </w:rPr>
                                      <w:t xml:space="preserve"> 1 TASK </w:t>
                                    </w:r>
                                  </w:p>
                                </w:sdtContent>
                              </w:sdt>
                              <w:p w14:paraId="6C56640A" w14:textId="050E8EA9" w:rsidR="00D62597" w:rsidRPr="00D62597" w:rsidRDefault="00D62597">
                                <w:pPr>
                                  <w:pStyle w:val="NoSpacing"/>
                                  <w:jc w:val="center"/>
                                  <w:rPr>
                                    <w:color w:val="4F81BD" w:themeColor="accent1"/>
                                    <w:sz w:val="32"/>
                                    <w:szCs w:val="32"/>
                                  </w:rPr>
                                </w:pPr>
                                <w:sdt>
                                  <w:sdtPr>
                                    <w:rPr>
                                      <w:caps/>
                                      <w:color w:val="4F81BD"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sz w:val="32"/>
                                        <w:szCs w:val="32"/>
                                      </w:rPr>
                                      <w:t>YUVA</w:t>
                                    </w:r>
                                    <w:r w:rsidRPr="00D62597">
                                      <w:rPr>
                                        <w:caps/>
                                        <w:color w:val="4F81BD" w:themeColor="accent1"/>
                                        <w:sz w:val="32"/>
                                        <w:szCs w:val="32"/>
                                      </w:rPr>
                                      <w:t xml:space="preserve"> INTERN</w:t>
                                    </w:r>
                                  </w:sdtContent>
                                </w:sdt>
                              </w:p>
                              <w:p w14:paraId="4948D230" w14:textId="4CFD3545" w:rsidR="00D62597" w:rsidRPr="00D62597" w:rsidRDefault="00D62597">
                                <w:pPr>
                                  <w:pStyle w:val="NoSpacing"/>
                                  <w:jc w:val="center"/>
                                  <w:rPr>
                                    <w:color w:val="4F81BD" w:themeColor="accent1"/>
                                    <w:sz w:val="32"/>
                                    <w:szCs w:val="32"/>
                                  </w:rPr>
                                </w:pPr>
                                <w:sdt>
                                  <w:sdtPr>
                                    <w:rPr>
                                      <w:color w:val="4F81BD"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Pr="00D62597">
                                      <w:rPr>
                                        <w:color w:val="4F81BD" w:themeColor="accent1"/>
                                        <w:sz w:val="32"/>
                                        <w:szCs w:val="32"/>
                                      </w:rPr>
                                      <w:t>PREPARED BY: HILONI SHINDE</w:t>
                                    </w:r>
                                  </w:sdtContent>
                                </w:sdt>
                                <w:r w:rsidR="00FA5754">
                                  <w:rPr>
                                    <w:color w:val="4F81BD" w:themeColor="accent1"/>
                                    <w:sz w:val="32"/>
                                    <w:szCs w:val="32"/>
                                  </w:rPr>
                                  <w:t>(INTERN)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40A71BC9" id="_x0000_t202" coordsize="21600,21600" o:spt="202" path="m,l,21600r21600,l21600,xe">
                    <v:stroke joinstyle="miter"/>
                    <v:path gradientshapeok="t" o:connecttype="rect"/>
                  </v:shapetype>
                  <v:shape id="Text Box 146" o:spid="_x0000_s1026" type="#_x0000_t202" style="position:absolute;margin-left:0;margin-top:0;width:516pt;height:67.2pt;z-index:2516577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" filled="f" stroked="f" strokeweight=".5pt">
                    <v:textbox inset="0,0,0,0">
                      <w:txbxContent>
                        <w:sdt>
                          <w:sdtPr>
                            <w:rPr>
                              <w:caps/>
                              <w:color w:val="4F81BD" w:themeColor="accent1"/>
                              <w:sz w:val="32"/>
                              <w:szCs w:val="32"/>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6B7B180C" w14:textId="4F168FF3" w:rsidR="00D62597" w:rsidRPr="00D62597" w:rsidRDefault="00D62597">
                              <w:pPr>
                                <w:pStyle w:val="NoSpacing"/>
                                <w:spacing w:after="40"/>
                                <w:jc w:val="center"/>
                                <w:rPr>
                                  <w:caps/>
                                  <w:color w:val="4F81BD" w:themeColor="accent1"/>
                                  <w:sz w:val="32"/>
                                  <w:szCs w:val="32"/>
                                </w:rPr>
                              </w:pPr>
                              <w:r w:rsidRPr="00D62597">
                                <w:rPr>
                                  <w:caps/>
                                  <w:color w:val="4F81BD" w:themeColor="accent1"/>
                                  <w:sz w:val="32"/>
                                  <w:szCs w:val="32"/>
                                </w:rPr>
                                <w:t>WEE</w:t>
                              </w:r>
                              <w:r w:rsidR="000667CA">
                                <w:rPr>
                                  <w:caps/>
                                  <w:color w:val="4F81BD" w:themeColor="accent1"/>
                                  <w:sz w:val="32"/>
                                  <w:szCs w:val="32"/>
                                </w:rPr>
                                <w:t>K</w:t>
                              </w:r>
                              <w:r w:rsidRPr="00D62597">
                                <w:rPr>
                                  <w:caps/>
                                  <w:color w:val="4F81BD" w:themeColor="accent1"/>
                                  <w:sz w:val="32"/>
                                  <w:szCs w:val="32"/>
                                </w:rPr>
                                <w:t xml:space="preserve"> 1 TASK </w:t>
                              </w:r>
                            </w:p>
                          </w:sdtContent>
                        </w:sdt>
                        <w:p w14:paraId="6C56640A" w14:textId="050E8EA9" w:rsidR="00D62597" w:rsidRPr="00D62597" w:rsidRDefault="00D62597">
                          <w:pPr>
                            <w:pStyle w:val="NoSpacing"/>
                            <w:jc w:val="center"/>
                            <w:rPr>
                              <w:color w:val="4F81BD" w:themeColor="accent1"/>
                              <w:sz w:val="32"/>
                              <w:szCs w:val="32"/>
                            </w:rPr>
                          </w:pPr>
                          <w:sdt>
                            <w:sdtPr>
                              <w:rPr>
                                <w:caps/>
                                <w:color w:val="4F81BD" w:themeColor="accent1"/>
                                <w:sz w:val="32"/>
                                <w:szCs w:val="32"/>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4F81BD" w:themeColor="accent1"/>
                                  <w:sz w:val="32"/>
                                  <w:szCs w:val="32"/>
                                </w:rPr>
                                <w:t>YUVA</w:t>
                              </w:r>
                              <w:r w:rsidRPr="00D62597">
                                <w:rPr>
                                  <w:caps/>
                                  <w:color w:val="4F81BD" w:themeColor="accent1"/>
                                  <w:sz w:val="32"/>
                                  <w:szCs w:val="32"/>
                                </w:rPr>
                                <w:t xml:space="preserve"> INTERN</w:t>
                              </w:r>
                            </w:sdtContent>
                          </w:sdt>
                        </w:p>
                        <w:p w14:paraId="4948D230" w14:textId="4CFD3545" w:rsidR="00D62597" w:rsidRPr="00D62597" w:rsidRDefault="00D62597">
                          <w:pPr>
                            <w:pStyle w:val="NoSpacing"/>
                            <w:jc w:val="center"/>
                            <w:rPr>
                              <w:color w:val="4F81BD" w:themeColor="accent1"/>
                              <w:sz w:val="32"/>
                              <w:szCs w:val="32"/>
                            </w:rPr>
                          </w:pPr>
                          <w:sdt>
                            <w:sdtPr>
                              <w:rPr>
                                <w:color w:val="4F81BD" w:themeColor="accent1"/>
                                <w:sz w:val="32"/>
                                <w:szCs w:val="32"/>
                              </w:rPr>
                              <w:alias w:val="Address"/>
                              <w:tag w:val=""/>
                              <w:id w:val="-726379553"/>
                              <w:dataBinding w:prefixMappings="xmlns:ns0='http://schemas.microsoft.com/office/2006/coverPageProps' " w:xpath="/ns0:CoverPageProperties[1]/ns0:CompanyAddress[1]" w:storeItemID="{55AF091B-3C7A-41E3-B477-F2FDAA23CFDA}"/>
                              <w:text/>
                            </w:sdtPr>
                            <w:sdtContent>
                              <w:r w:rsidRPr="00D62597">
                                <w:rPr>
                                  <w:color w:val="4F81BD" w:themeColor="accent1"/>
                                  <w:sz w:val="32"/>
                                  <w:szCs w:val="32"/>
                                </w:rPr>
                                <w:t>PREPARED BY: HILONI SHINDE</w:t>
                              </w:r>
                            </w:sdtContent>
                          </w:sdt>
                          <w:r w:rsidR="00FA5754">
                            <w:rPr>
                              <w:color w:val="4F81BD" w:themeColor="accent1"/>
                              <w:sz w:val="32"/>
                              <w:szCs w:val="32"/>
                            </w:rPr>
                            <w:t>(INTERN)</w:t>
                          </w:r>
                        </w:p>
                      </w:txbxContent>
                    </v:textbox>
                    <w10:wrap anchorx="margin" anchory="page"/>
                  </v:shape>
                </w:pict>
              </mc:Fallback>
            </mc:AlternateContent>
          </w:r>
          <w:r>
            <w:rPr>
              <w:b/>
              <w:sz w:val="36"/>
            </w:rPr>
            <w:br w:type="page"/>
          </w:r>
        </w:p>
      </w:sdtContent>
    </w:sdt>
    <w:p w14:paraId="25A4A602" w14:textId="7680FA88" w:rsidR="00F74C69" w:rsidRDefault="00000000">
      <w:pPr>
        <w:jc w:val="center"/>
      </w:pPr>
      <w:r>
        <w:rPr>
          <w:b/>
          <w:sz w:val="36"/>
        </w:rPr>
        <w:lastRenderedPageBreak/>
        <w:t>Week 1 Task: Agribusiness Data Analysis Planning</w:t>
      </w:r>
    </w:p>
    <w:p w14:paraId="38815565" w14:textId="77777777" w:rsidR="00F74C69" w:rsidRDefault="00000000">
      <w:pPr>
        <w:jc w:val="center"/>
      </w:pPr>
      <w:r>
        <w:rPr>
          <w:i/>
        </w:rPr>
        <w:t>Project: Agricultural Market Price Trend Analysis and Forecasting Using Indian Mandi Data</w:t>
      </w:r>
    </w:p>
    <w:p w14:paraId="54B5E625" w14:textId="77777777" w:rsidR="00F74C69" w:rsidRDefault="00000000">
      <w:pPr>
        <w:pStyle w:val="Heading1"/>
      </w:pPr>
      <w:r>
        <w:t>1. Introduction</w:t>
      </w:r>
    </w:p>
    <w:p w14:paraId="614B0D34" w14:textId="77777777" w:rsidR="00F74C69" w:rsidRDefault="00000000">
      <w:r>
        <w:t>This report presents a structured plan for collecting, preparing, and analyzing publicly available agricultural market data to understand wholesale price trends in India. The selected primary dataset is Daily Commodity Prices India on Kaggle. The project will focus on historical commodity prices across markets and locations, with forecasting treated as an exploratory extension if the available data is suitable.</w:t>
      </w:r>
    </w:p>
    <w:p w14:paraId="17467616" w14:textId="77777777" w:rsidR="00F74C69" w:rsidRDefault="00000000">
      <w:pPr>
        <w:pStyle w:val="Heading1"/>
      </w:pPr>
      <w:r>
        <w:t>2. Research Rationale</w:t>
      </w:r>
    </w:p>
    <w:p w14:paraId="052CD694" w14:textId="77777777" w:rsidR="00F74C69" w:rsidRDefault="00000000">
      <w:r>
        <w:t>Agricultural market prices influence decisions made by farmers, traders, retailers, and other participants in the supply chain. Studying historical prices can help reveal price movements, differences between markets, and possible seasonal patterns. A structured data-analysis workflow can turn raw price records into clear summaries and visualizations. The project is limited to market-price analysis unless additional datasets are collected for production, crop yields, rainfall, or resource utilization.</w:t>
      </w:r>
    </w:p>
    <w:p w14:paraId="2430A22A" w14:textId="77777777" w:rsidR="00F74C69" w:rsidRDefault="00000000">
      <w:pPr>
        <w:pStyle w:val="Heading1"/>
      </w:pPr>
      <w:r>
        <w:t>3. Objectives</w:t>
      </w:r>
    </w:p>
    <w:p w14:paraId="78C9FA26" w14:textId="77777777" w:rsidR="00F74C69" w:rsidRDefault="00000000">
      <w:pPr>
        <w:pStyle w:val="ListBullet"/>
      </w:pPr>
      <w:r>
        <w:t>Identify and document reliable public data sources relevant to agricultural market prices.</w:t>
      </w:r>
    </w:p>
    <w:p w14:paraId="778E7C49" w14:textId="77777777" w:rsidR="00F74C69" w:rsidRDefault="00000000">
      <w:pPr>
        <w:pStyle w:val="ListBullet"/>
      </w:pPr>
      <w:r>
        <w:t>Inspect and prepare the selected dataset for analysis, including checking missing values, duplicates, date formats, and numeric price fields.</w:t>
      </w:r>
    </w:p>
    <w:p w14:paraId="3042FFB8" w14:textId="77777777" w:rsidR="00F74C69" w:rsidRDefault="00000000">
      <w:pPr>
        <w:pStyle w:val="ListBullet"/>
      </w:pPr>
      <w:r>
        <w:t>Measure price levels and fluctuations using minimum, maximum, and modal prices, price range, and percentage change.</w:t>
      </w:r>
    </w:p>
    <w:p w14:paraId="155911C9" w14:textId="77777777" w:rsidR="00F74C69" w:rsidRDefault="00000000">
      <w:pPr>
        <w:pStyle w:val="ListBullet"/>
      </w:pPr>
      <w:r>
        <w:t>Compare historical price patterns across selected commodities and markets, districts, or states where the data supports the comparison.</w:t>
      </w:r>
    </w:p>
    <w:p w14:paraId="150BFAA1" w14:textId="77777777" w:rsidR="00F74C69" w:rsidRDefault="00000000">
      <w:pPr>
        <w:pStyle w:val="ListBullet"/>
      </w:pPr>
      <w:r>
        <w:t>Visualize trends and investigate seasonal patterns where sufficient historical observations are available.</w:t>
      </w:r>
    </w:p>
    <w:p w14:paraId="079AA538" w14:textId="77777777" w:rsidR="00F74C69" w:rsidRDefault="00000000">
      <w:pPr>
        <w:pStyle w:val="ListBullet"/>
      </w:pPr>
      <w:r>
        <w:t>Evaluate a suitable forecasting baseline for one selected commodity-market series if data quality and coverage permit.</w:t>
      </w:r>
    </w:p>
    <w:p w14:paraId="52C107B2" w14:textId="77777777" w:rsidR="00F74C69" w:rsidRDefault="00000000">
      <w:pPr>
        <w:pStyle w:val="ListBullet"/>
      </w:pPr>
      <w:r>
        <w:t>Document methods, limitations, findings, and next steps in a reproducible GitHub repository.</w:t>
      </w:r>
    </w:p>
    <w:p w14:paraId="525113E6" w14:textId="77777777" w:rsidR="00F74C69" w:rsidRDefault="00000000">
      <w:pPr>
        <w:pStyle w:val="Heading1"/>
      </w:pPr>
      <w:r>
        <w:t>4. Proposed Dataset and Data Sources</w:t>
      </w:r>
    </w:p>
    <w:p w14:paraId="0B754F66" w14:textId="77777777" w:rsidR="00F74C69" w:rsidRDefault="00000000">
      <w:r>
        <w:t>Primary dataset: Daily Commodity Prices India, Kaggle. Dataset URL: https://www.kaggle.com/datasets/khandelwalmanas/daily-commodity-prices-india</w:t>
      </w:r>
    </w:p>
    <w:p w14:paraId="2E73C4A9" w14:textId="77777777" w:rsidR="00F74C69" w:rsidRDefault="00000000">
      <w:r>
        <w:t>The dataset is intended to provide daily agricultural commodity market-price records. Before analysis, the exact column names, date coverage, units, licence, and available geographic fields will be verified from the downloaded files and Kaggle dataset page.</w:t>
      </w:r>
    </w:p>
    <w:p w14:paraId="2A4C619C" w14:textId="77777777" w:rsidR="00F74C69" w:rsidRDefault="00000000">
      <w:pPr>
        <w:pStyle w:val="ListBullet"/>
      </w:pPr>
      <w:r>
        <w:rPr>
          <w:b/>
        </w:rPr>
        <w:t xml:space="preserve">Kaggle — Daily Commodity Prices India: </w:t>
      </w:r>
      <w:r>
        <w:t>Primary dataset selected for the project; verify dataset description, licence, and attribution requirements.</w:t>
      </w:r>
    </w:p>
    <w:p w14:paraId="4F496BD2" w14:textId="77777777" w:rsidR="00F74C69" w:rsidRDefault="00000000">
      <w:pPr>
        <w:pStyle w:val="ListBullet"/>
      </w:pPr>
      <w:r>
        <w:rPr>
          <w:b/>
        </w:rPr>
        <w:t xml:space="preserve">AGMARKNET / Government of India agricultural market information: </w:t>
      </w:r>
      <w:r>
        <w:t>Potential source/context for mandi arrivals and wholesale prices; use to validate provenance where possible.</w:t>
      </w:r>
    </w:p>
    <w:p w14:paraId="4EBA4270" w14:textId="77777777" w:rsidR="00F74C69" w:rsidRDefault="00000000">
      <w:pPr>
        <w:pStyle w:val="ListBullet"/>
      </w:pPr>
      <w:r>
        <w:rPr>
          <w:b/>
        </w:rPr>
        <w:t xml:space="preserve">Open Government Data Platform India (data.gov.in): </w:t>
      </w:r>
      <w:r>
        <w:t>Potential source for additional agricultural market datasets or metadata.</w:t>
      </w:r>
    </w:p>
    <w:p w14:paraId="5A9392C9" w14:textId="77777777" w:rsidR="00F74C69" w:rsidRDefault="00000000">
      <w:pPr>
        <w:pStyle w:val="ListBullet"/>
      </w:pPr>
      <w:r>
        <w:rPr>
          <w:b/>
        </w:rPr>
        <w:t xml:space="preserve">Directorate of Economics and Statistics, Department of Agriculture &amp; Farmers Welfare: </w:t>
      </w:r>
      <w:r>
        <w:t>Potential supplementary source for crop production and yield statistics if the project scope is expanded.</w:t>
      </w:r>
    </w:p>
    <w:p w14:paraId="6A730986" w14:textId="77777777" w:rsidR="00F74C69" w:rsidRDefault="00000000">
      <w:pPr>
        <w:pStyle w:val="ListBullet"/>
      </w:pPr>
      <w:r>
        <w:rPr>
          <w:b/>
        </w:rPr>
        <w:lastRenderedPageBreak/>
        <w:t xml:space="preserve">India Meteorological Department (IMD): </w:t>
      </w:r>
      <w:r>
        <w:t>Potential supplementary source for rainfall or weather data if needed for a separate analysis.</w:t>
      </w:r>
    </w:p>
    <w:p w14:paraId="5A415815" w14:textId="77777777" w:rsidR="00F74C69" w:rsidRDefault="00000000">
      <w:pPr>
        <w:pStyle w:val="Heading1"/>
      </w:pPr>
      <w:r>
        <w:t>5. Key Indicators</w:t>
      </w:r>
    </w:p>
    <w:tbl>
      <w:tblPr>
        <w:tblStyle w:val="LightShading-Accent1"/>
        <w:tblW w:w="0" w:type="auto"/>
        <w:tblLook w:val="04A0" w:firstRow="1" w:lastRow="0" w:firstColumn="1" w:lastColumn="0" w:noHBand="0" w:noVBand="1"/>
      </w:tblPr>
      <w:tblGrid>
        <w:gridCol w:w="4968"/>
        <w:gridCol w:w="4968"/>
      </w:tblGrid>
      <w:tr w:rsidR="00F74C69" w14:paraId="05CB0827" w14:textId="77777777" w:rsidTr="00F7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7DD07E1" w14:textId="77777777" w:rsidR="00F74C69" w:rsidRDefault="00000000">
            <w:r>
              <w:t>Indicator</w:t>
            </w:r>
          </w:p>
        </w:tc>
        <w:tc>
          <w:tcPr>
            <w:tcW w:w="4968" w:type="dxa"/>
          </w:tcPr>
          <w:p w14:paraId="15840BF2" w14:textId="77777777" w:rsidR="00F74C69" w:rsidRDefault="00000000">
            <w:pPr>
              <w:cnfStyle w:val="100000000000" w:firstRow="1" w:lastRow="0" w:firstColumn="0" w:lastColumn="0" w:oddVBand="0" w:evenVBand="0" w:oddHBand="0" w:evenHBand="0" w:firstRowFirstColumn="0" w:firstRowLastColumn="0" w:lastRowFirstColumn="0" w:lastRowLastColumn="0"/>
            </w:pPr>
            <w:r>
              <w:t>Purpose</w:t>
            </w:r>
          </w:p>
        </w:tc>
      </w:tr>
      <w:tr w:rsidR="00F74C69" w14:paraId="55B46B9C"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9046D59" w14:textId="77777777" w:rsidR="00F74C69" w:rsidRDefault="00000000">
            <w:r>
              <w:t>Minimum price</w:t>
            </w:r>
          </w:p>
        </w:tc>
        <w:tc>
          <w:tcPr>
            <w:tcW w:w="4968" w:type="dxa"/>
          </w:tcPr>
          <w:p w14:paraId="19E3DD7B" w14:textId="77777777" w:rsidR="00F74C69" w:rsidRDefault="00000000">
            <w:pPr>
              <w:cnfStyle w:val="000000100000" w:firstRow="0" w:lastRow="0" w:firstColumn="0" w:lastColumn="0" w:oddVBand="0" w:evenVBand="0" w:oddHBand="1" w:evenHBand="0" w:firstRowFirstColumn="0" w:firstRowLastColumn="0" w:lastRowFirstColumn="0" w:lastRowLastColumn="0"/>
            </w:pPr>
            <w:r>
              <w:t>Lowest reported price for a commodity-market-date record.</w:t>
            </w:r>
          </w:p>
        </w:tc>
      </w:tr>
      <w:tr w:rsidR="00F74C69" w14:paraId="49003C9E" w14:textId="77777777" w:rsidTr="00F74C69">
        <w:tc>
          <w:tcPr>
            <w:cnfStyle w:val="001000000000" w:firstRow="0" w:lastRow="0" w:firstColumn="1" w:lastColumn="0" w:oddVBand="0" w:evenVBand="0" w:oddHBand="0" w:evenHBand="0" w:firstRowFirstColumn="0" w:firstRowLastColumn="0" w:lastRowFirstColumn="0" w:lastRowLastColumn="0"/>
            <w:tcW w:w="4968" w:type="dxa"/>
          </w:tcPr>
          <w:p w14:paraId="059114CB" w14:textId="77777777" w:rsidR="00F74C69" w:rsidRDefault="00000000">
            <w:r>
              <w:t>Maximum price</w:t>
            </w:r>
          </w:p>
        </w:tc>
        <w:tc>
          <w:tcPr>
            <w:tcW w:w="4968" w:type="dxa"/>
          </w:tcPr>
          <w:p w14:paraId="29D77069" w14:textId="77777777" w:rsidR="00F74C69" w:rsidRDefault="00000000">
            <w:pPr>
              <w:cnfStyle w:val="000000000000" w:firstRow="0" w:lastRow="0" w:firstColumn="0" w:lastColumn="0" w:oddVBand="0" w:evenVBand="0" w:oddHBand="0" w:evenHBand="0" w:firstRowFirstColumn="0" w:firstRowLastColumn="0" w:lastRowFirstColumn="0" w:lastRowLastColumn="0"/>
            </w:pPr>
            <w:r>
              <w:t>Highest reported price for a commodity-market-date record.</w:t>
            </w:r>
          </w:p>
        </w:tc>
      </w:tr>
      <w:tr w:rsidR="00F74C69" w14:paraId="5C4C502D"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29225663" w14:textId="77777777" w:rsidR="00F74C69" w:rsidRDefault="00000000">
            <w:r>
              <w:t>Modal price</w:t>
            </w:r>
          </w:p>
        </w:tc>
        <w:tc>
          <w:tcPr>
            <w:tcW w:w="4968" w:type="dxa"/>
          </w:tcPr>
          <w:p w14:paraId="2558D767" w14:textId="77777777" w:rsidR="00F74C69" w:rsidRDefault="00000000">
            <w:pPr>
              <w:cnfStyle w:val="000000100000" w:firstRow="0" w:lastRow="0" w:firstColumn="0" w:lastColumn="0" w:oddVBand="0" w:evenVBand="0" w:oddHBand="1" w:evenHBand="0" w:firstRowFirstColumn="0" w:firstRowLastColumn="0" w:lastRowFirstColumn="0" w:lastRowLastColumn="0"/>
            </w:pPr>
            <w:r>
              <w:t>Reported modal price; the main price series for trend analysis where appropriate.</w:t>
            </w:r>
          </w:p>
        </w:tc>
      </w:tr>
      <w:tr w:rsidR="00F74C69" w14:paraId="1880CAA0" w14:textId="77777777" w:rsidTr="00F74C69">
        <w:tc>
          <w:tcPr>
            <w:cnfStyle w:val="001000000000" w:firstRow="0" w:lastRow="0" w:firstColumn="1" w:lastColumn="0" w:oddVBand="0" w:evenVBand="0" w:oddHBand="0" w:evenHBand="0" w:firstRowFirstColumn="0" w:firstRowLastColumn="0" w:lastRowFirstColumn="0" w:lastRowLastColumn="0"/>
            <w:tcW w:w="4968" w:type="dxa"/>
          </w:tcPr>
          <w:p w14:paraId="76ACAC4E" w14:textId="77777777" w:rsidR="00F74C69" w:rsidRDefault="00000000">
            <w:r>
              <w:t>Price range</w:t>
            </w:r>
          </w:p>
        </w:tc>
        <w:tc>
          <w:tcPr>
            <w:tcW w:w="4968" w:type="dxa"/>
          </w:tcPr>
          <w:p w14:paraId="595B23FF" w14:textId="77777777" w:rsidR="00F74C69" w:rsidRDefault="00000000">
            <w:pPr>
              <w:cnfStyle w:val="000000000000" w:firstRow="0" w:lastRow="0" w:firstColumn="0" w:lastColumn="0" w:oddVBand="0" w:evenVBand="0" w:oddHBand="0" w:evenHBand="0" w:firstRowFirstColumn="0" w:firstRowLastColumn="0" w:lastRowFirstColumn="0" w:lastRowLastColumn="0"/>
            </w:pPr>
            <w:r>
              <w:t>Maximum price minus minimum price, used as a simple measure of within-record spread.</w:t>
            </w:r>
          </w:p>
        </w:tc>
      </w:tr>
      <w:tr w:rsidR="00F74C69" w14:paraId="189B9980"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1FEA1F90" w14:textId="77777777" w:rsidR="00F74C69" w:rsidRDefault="00000000">
            <w:r>
              <w:t>Percentage price change</w:t>
            </w:r>
          </w:p>
        </w:tc>
        <w:tc>
          <w:tcPr>
            <w:tcW w:w="4968" w:type="dxa"/>
          </w:tcPr>
          <w:p w14:paraId="73C99D11" w14:textId="77777777" w:rsidR="00F74C69" w:rsidRDefault="00000000">
            <w:pPr>
              <w:cnfStyle w:val="000000100000" w:firstRow="0" w:lastRow="0" w:firstColumn="0" w:lastColumn="0" w:oddVBand="0" w:evenVBand="0" w:oddHBand="1" w:evenHBand="0" w:firstRowFirstColumn="0" w:firstRowLastColumn="0" w:lastRowFirstColumn="0" w:lastRowLastColumn="0"/>
            </w:pPr>
            <w:r>
              <w:t>Change in price between comparable time periods.</w:t>
            </w:r>
          </w:p>
        </w:tc>
      </w:tr>
      <w:tr w:rsidR="00F74C69" w14:paraId="1ACFFD6E" w14:textId="77777777" w:rsidTr="00F74C69">
        <w:tc>
          <w:tcPr>
            <w:cnfStyle w:val="001000000000" w:firstRow="0" w:lastRow="0" w:firstColumn="1" w:lastColumn="0" w:oddVBand="0" w:evenVBand="0" w:oddHBand="0" w:evenHBand="0" w:firstRowFirstColumn="0" w:firstRowLastColumn="0" w:lastRowFirstColumn="0" w:lastRowLastColumn="0"/>
            <w:tcW w:w="4968" w:type="dxa"/>
          </w:tcPr>
          <w:p w14:paraId="245C94F3" w14:textId="77777777" w:rsidR="00F74C69" w:rsidRDefault="00000000">
            <w:r>
              <w:t>Price volatility</w:t>
            </w:r>
          </w:p>
        </w:tc>
        <w:tc>
          <w:tcPr>
            <w:tcW w:w="4968" w:type="dxa"/>
          </w:tcPr>
          <w:p w14:paraId="0ECAF2C4" w14:textId="77777777" w:rsidR="00F74C69" w:rsidRDefault="00000000">
            <w:pPr>
              <w:cnfStyle w:val="000000000000" w:firstRow="0" w:lastRow="0" w:firstColumn="0" w:lastColumn="0" w:oddVBand="0" w:evenVBand="0" w:oddHBand="0" w:evenHBand="0" w:firstRowFirstColumn="0" w:firstRowLastColumn="0" w:lastRowFirstColumn="0" w:lastRowLastColumn="0"/>
            </w:pPr>
            <w:r>
              <w:t>Variation in prices over time, measured using an appropriate rolling statistic or standard deviation.</w:t>
            </w:r>
          </w:p>
        </w:tc>
      </w:tr>
      <w:tr w:rsidR="00F74C69" w14:paraId="660A3D06"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383A2F97" w14:textId="77777777" w:rsidR="00F74C69" w:rsidRDefault="00000000">
            <w:r>
              <w:t>Market and geographic comparison</w:t>
            </w:r>
          </w:p>
        </w:tc>
        <w:tc>
          <w:tcPr>
            <w:tcW w:w="4968" w:type="dxa"/>
          </w:tcPr>
          <w:p w14:paraId="2B408A66" w14:textId="77777777" w:rsidR="00F74C69" w:rsidRDefault="00000000">
            <w:pPr>
              <w:cnfStyle w:val="000000100000" w:firstRow="0" w:lastRow="0" w:firstColumn="0" w:lastColumn="0" w:oddVBand="0" w:evenVBand="0" w:oddHBand="1" w:evenHBand="0" w:firstRowFirstColumn="0" w:firstRowLastColumn="0" w:lastRowFirstColumn="0" w:lastRowLastColumn="0"/>
            </w:pPr>
            <w:r>
              <w:t>Differences in price levels across markets, districts, or states when data coverage permits.</w:t>
            </w:r>
          </w:p>
        </w:tc>
      </w:tr>
      <w:tr w:rsidR="00F74C69" w14:paraId="04A596C9" w14:textId="77777777" w:rsidTr="00F74C69">
        <w:tc>
          <w:tcPr>
            <w:cnfStyle w:val="001000000000" w:firstRow="0" w:lastRow="0" w:firstColumn="1" w:lastColumn="0" w:oddVBand="0" w:evenVBand="0" w:oddHBand="0" w:evenHBand="0" w:firstRowFirstColumn="0" w:firstRowLastColumn="0" w:lastRowFirstColumn="0" w:lastRowLastColumn="0"/>
            <w:tcW w:w="4968" w:type="dxa"/>
          </w:tcPr>
          <w:p w14:paraId="31D40472" w14:textId="77777777" w:rsidR="00F74C69" w:rsidRDefault="00000000">
            <w:r>
              <w:t>Seasonality and trend</w:t>
            </w:r>
          </w:p>
        </w:tc>
        <w:tc>
          <w:tcPr>
            <w:tcW w:w="4968" w:type="dxa"/>
          </w:tcPr>
          <w:p w14:paraId="2DBB4728" w14:textId="77777777" w:rsidR="00F74C69" w:rsidRDefault="00000000">
            <w:pPr>
              <w:cnfStyle w:val="000000000000" w:firstRow="0" w:lastRow="0" w:firstColumn="0" w:lastColumn="0" w:oddVBand="0" w:evenVBand="0" w:oddHBand="0" w:evenHBand="0" w:firstRowFirstColumn="0" w:firstRowLastColumn="0" w:lastRowFirstColumn="0" w:lastRowLastColumn="0"/>
            </w:pPr>
            <w:r>
              <w:t>Recurring patterns or longer-term movements, assessed only where time coverage is sufficient.</w:t>
            </w:r>
          </w:p>
        </w:tc>
      </w:tr>
    </w:tbl>
    <w:p w14:paraId="5F965AE9" w14:textId="77777777" w:rsidR="00F74C69" w:rsidRDefault="00000000">
      <w:pPr>
        <w:pStyle w:val="Heading1"/>
      </w:pPr>
      <w:r>
        <w:t>6. Data Collection, Cleaning, and Analysis Workflow</w:t>
      </w:r>
    </w:p>
    <w:p w14:paraId="262A77D6" w14:textId="77777777" w:rsidR="00F74C69" w:rsidRDefault="00000000">
      <w:r>
        <w:rPr>
          <w:b/>
        </w:rPr>
        <w:t xml:space="preserve">Step 1 — Confirm source and scope. </w:t>
      </w:r>
      <w:r>
        <w:t>Download the Kaggle files, read the dataset documentation, record the creator, URL, licence, date coverage, units, and attribution requirements. Select a manageable subset if the dataset is large.</w:t>
      </w:r>
    </w:p>
    <w:p w14:paraId="46440264" w14:textId="77777777" w:rsidR="00F74C69" w:rsidRDefault="00000000">
      <w:r>
        <w:rPr>
          <w:b/>
        </w:rPr>
        <w:t xml:space="preserve">Step 2 — Inspect the data. </w:t>
      </w:r>
      <w:r>
        <w:t>Use Python and Pandas to review file names, dimensions, column names, data types, sample rows, unique commodities, and date ranges.</w:t>
      </w:r>
    </w:p>
    <w:p w14:paraId="3A1C9244" w14:textId="77777777" w:rsidR="00F74C69" w:rsidRDefault="00000000">
      <w:r>
        <w:rPr>
          <w:b/>
        </w:rPr>
        <w:t xml:space="preserve">Step 3 — Clean and validate. </w:t>
      </w:r>
      <w:r>
        <w:t>Check missing values, duplicates, invalid or inconsistent dates, non-numeric prices, unexpected negative or zero values, and inconsistent commodity or location labels. Do not delete unusual values without investigation.</w:t>
      </w:r>
    </w:p>
    <w:p w14:paraId="75240FAB" w14:textId="77777777" w:rsidR="00F74C69" w:rsidRDefault="00000000">
      <w:r>
        <w:rPr>
          <w:b/>
        </w:rPr>
        <w:t xml:space="preserve">Step 4 — Prepare analysis fields. </w:t>
      </w:r>
      <w:r>
        <w:t>Convert date fields to datetime and price fields to numeric types. Create derived fields such as price range and percentage change where valid. Keep a record of each cleaning decision.</w:t>
      </w:r>
    </w:p>
    <w:p w14:paraId="037A1294" w14:textId="77777777" w:rsidR="00F74C69" w:rsidRDefault="00000000">
      <w:r>
        <w:rPr>
          <w:b/>
        </w:rPr>
        <w:t xml:space="preserve">Step 5 — Explore and summarize. </w:t>
      </w:r>
      <w:r>
        <w:t>Calculate descriptive statistics and group prices by commodity, market, district, state, and time period where those fields exist.</w:t>
      </w:r>
    </w:p>
    <w:p w14:paraId="7D276A30" w14:textId="77777777" w:rsidR="00F74C69" w:rsidRDefault="00000000">
      <w:r>
        <w:rPr>
          <w:b/>
        </w:rPr>
        <w:t xml:space="preserve">Step 6 — Visualize patterns. </w:t>
      </w:r>
      <w:r>
        <w:t>Create time-series line charts, commodity comparisons, market comparisons, and distribution plots using Matplotlib and Seaborn.</w:t>
      </w:r>
    </w:p>
    <w:p w14:paraId="6C21BD01" w14:textId="77777777" w:rsidR="00F74C69" w:rsidRDefault="00000000">
      <w:r>
        <w:rPr>
          <w:b/>
        </w:rPr>
        <w:t xml:space="preserve">Step 7 — Explore forecasting. </w:t>
      </w:r>
      <w:r>
        <w:t>Choose one commodity and one market with enough consistent observations. Establish a simple baseline and evaluate it on a chronological holdout period using metrics such as MAE or RMSE. Avoid random shuffling of time-series data.</w:t>
      </w:r>
    </w:p>
    <w:p w14:paraId="655CBC15" w14:textId="77777777" w:rsidR="00F74C69" w:rsidRDefault="00000000">
      <w:r>
        <w:rPr>
          <w:b/>
        </w:rPr>
        <w:t xml:space="preserve">Step 8 — Interpret and document. </w:t>
      </w:r>
      <w:r>
        <w:t>Explain the observed patterns without claiming causation from price data alone. Record limitations, methods, charts, and reproducible instructions in the report and GitHub README.</w:t>
      </w:r>
    </w:p>
    <w:p w14:paraId="31A8610C" w14:textId="77777777" w:rsidR="00F74C69" w:rsidRDefault="00000000">
      <w:pPr>
        <w:pStyle w:val="Heading1"/>
      </w:pPr>
      <w:r>
        <w:lastRenderedPageBreak/>
        <w:t>7. Tools and Technologies</w:t>
      </w:r>
    </w:p>
    <w:p w14:paraId="239FE706" w14:textId="77777777" w:rsidR="00F74C69" w:rsidRDefault="00000000">
      <w:r>
        <w:t>Python; Pandas for data manipulation; NumPy for numerical operations; Matplotlib and Seaborn for visualizations; Jupyter Notebook for documented experiments; and Scikit-learn or a suitable time-series method for an optional forecasting baseline. Git and GitHub will be used for version control and project documentation.</w:t>
      </w:r>
    </w:p>
    <w:p w14:paraId="486E869A" w14:textId="77777777" w:rsidR="00F74C69" w:rsidRDefault="00000000">
      <w:pPr>
        <w:pStyle w:val="Heading1"/>
      </w:pPr>
      <w:r>
        <w:t>8. Five-Week Project Timeline</w:t>
      </w:r>
    </w:p>
    <w:tbl>
      <w:tblPr>
        <w:tblStyle w:val="LightShading-Accent1"/>
        <w:tblW w:w="0" w:type="auto"/>
        <w:tblLook w:val="04A0" w:firstRow="1" w:lastRow="0" w:firstColumn="1" w:lastColumn="0" w:noHBand="0" w:noVBand="1"/>
      </w:tblPr>
      <w:tblGrid>
        <w:gridCol w:w="3312"/>
        <w:gridCol w:w="3312"/>
        <w:gridCol w:w="3312"/>
      </w:tblGrid>
      <w:tr w:rsidR="00F74C69" w14:paraId="0F441374" w14:textId="77777777" w:rsidTr="00F74C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32EAF57" w14:textId="77777777" w:rsidR="00F74C69" w:rsidRDefault="00000000">
            <w:r>
              <w:t>Week</w:t>
            </w:r>
          </w:p>
        </w:tc>
        <w:tc>
          <w:tcPr>
            <w:tcW w:w="3312" w:type="dxa"/>
          </w:tcPr>
          <w:p w14:paraId="41097DF0" w14:textId="77777777" w:rsidR="00F74C69" w:rsidRDefault="00000000">
            <w:pPr>
              <w:cnfStyle w:val="100000000000" w:firstRow="1" w:lastRow="0" w:firstColumn="0" w:lastColumn="0" w:oddVBand="0" w:evenVBand="0" w:oddHBand="0" w:evenHBand="0" w:firstRowFirstColumn="0" w:firstRowLastColumn="0" w:lastRowFirstColumn="0" w:lastRowLastColumn="0"/>
            </w:pPr>
            <w:r>
              <w:t>Activities</w:t>
            </w:r>
          </w:p>
        </w:tc>
        <w:tc>
          <w:tcPr>
            <w:tcW w:w="3312" w:type="dxa"/>
          </w:tcPr>
          <w:p w14:paraId="24313828" w14:textId="77777777" w:rsidR="00F74C69" w:rsidRDefault="00000000">
            <w:pPr>
              <w:cnfStyle w:val="100000000000" w:firstRow="1" w:lastRow="0" w:firstColumn="0" w:lastColumn="0" w:oddVBand="0" w:evenVBand="0" w:oddHBand="0" w:evenHBand="0" w:firstRowFirstColumn="0" w:firstRowLastColumn="0" w:lastRowFirstColumn="0" w:lastRowLastColumn="0"/>
            </w:pPr>
            <w:r>
              <w:t>Milestone / Deliverable</w:t>
            </w:r>
          </w:p>
        </w:tc>
      </w:tr>
      <w:tr w:rsidR="00F74C69" w14:paraId="2B5148D3"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1AAF01B" w14:textId="77777777" w:rsidR="00F74C69" w:rsidRDefault="00000000">
            <w:r>
              <w:t>Week 1 — Planning and research</w:t>
            </w:r>
          </w:p>
        </w:tc>
        <w:tc>
          <w:tcPr>
            <w:tcW w:w="3312" w:type="dxa"/>
          </w:tcPr>
          <w:p w14:paraId="55CA00AB" w14:textId="77777777" w:rsidR="00F74C69" w:rsidRDefault="00000000">
            <w:pPr>
              <w:cnfStyle w:val="000000100000" w:firstRow="0" w:lastRow="0" w:firstColumn="0" w:lastColumn="0" w:oddVBand="0" w:evenVBand="0" w:oddHBand="1" w:evenHBand="0" w:firstRowFirstColumn="0" w:firstRowLastColumn="0" w:lastRowFirstColumn="0" w:lastRowLastColumn="0"/>
            </w:pPr>
            <w:r>
              <w:t>Define the problem and objectives; review public sources; select the Kaggle dataset; identify indicators and analysis methods; document scope, assumptions, and limitations.</w:t>
            </w:r>
          </w:p>
        </w:tc>
        <w:tc>
          <w:tcPr>
            <w:tcW w:w="3312" w:type="dxa"/>
          </w:tcPr>
          <w:p w14:paraId="41887730" w14:textId="77777777" w:rsidR="00F74C69" w:rsidRDefault="00000000">
            <w:pPr>
              <w:cnfStyle w:val="000000100000" w:firstRow="0" w:lastRow="0" w:firstColumn="0" w:lastColumn="0" w:oddVBand="0" w:evenVBand="0" w:oddHBand="1" w:evenHBand="0" w:firstRowFirstColumn="0" w:firstRowLastColumn="0" w:lastRowFirstColumn="0" w:lastRowLastColumn="0"/>
            </w:pPr>
            <w:r>
              <w:t>Planning report, source register, and GitHub repository setup.</w:t>
            </w:r>
          </w:p>
        </w:tc>
      </w:tr>
      <w:tr w:rsidR="00F74C69" w14:paraId="26B1DA36" w14:textId="77777777" w:rsidTr="00F74C69">
        <w:tc>
          <w:tcPr>
            <w:cnfStyle w:val="001000000000" w:firstRow="0" w:lastRow="0" w:firstColumn="1" w:lastColumn="0" w:oddVBand="0" w:evenVBand="0" w:oddHBand="0" w:evenHBand="0" w:firstRowFirstColumn="0" w:firstRowLastColumn="0" w:lastRowFirstColumn="0" w:lastRowLastColumn="0"/>
            <w:tcW w:w="3312" w:type="dxa"/>
          </w:tcPr>
          <w:p w14:paraId="68639F11" w14:textId="77777777" w:rsidR="00F74C69" w:rsidRDefault="00000000">
            <w:r>
              <w:t>Week 2 — Data collection and preparation</w:t>
            </w:r>
          </w:p>
        </w:tc>
        <w:tc>
          <w:tcPr>
            <w:tcW w:w="3312" w:type="dxa"/>
          </w:tcPr>
          <w:p w14:paraId="50DA35E7" w14:textId="77777777" w:rsidR="00F74C69" w:rsidRDefault="00000000">
            <w:pPr>
              <w:cnfStyle w:val="000000000000" w:firstRow="0" w:lastRow="0" w:firstColumn="0" w:lastColumn="0" w:oddVBand="0" w:evenVBand="0" w:oddHBand="0" w:evenHBand="0" w:firstRowFirstColumn="0" w:firstRowLastColumn="0" w:lastRowFirstColumn="0" w:lastRowLastColumn="0"/>
            </w:pPr>
            <w:r>
              <w:t>Download and inspect files; confirm columns and date coverage; profile missing values and duplicates; standardize date and price fields; create a clean working subset.</w:t>
            </w:r>
          </w:p>
        </w:tc>
        <w:tc>
          <w:tcPr>
            <w:tcW w:w="3312" w:type="dxa"/>
          </w:tcPr>
          <w:p w14:paraId="5E52B9E1" w14:textId="77777777" w:rsidR="00F74C69" w:rsidRDefault="00000000">
            <w:pPr>
              <w:cnfStyle w:val="000000000000" w:firstRow="0" w:lastRow="0" w:firstColumn="0" w:lastColumn="0" w:oddVBand="0" w:evenVBand="0" w:oddHBand="0" w:evenHBand="0" w:firstRowFirstColumn="0" w:firstRowLastColumn="0" w:lastRowFirstColumn="0" w:lastRowLastColumn="0"/>
            </w:pPr>
            <w:r>
              <w:t>Data inspection/cleaning notebook and documented cleaned subset.</w:t>
            </w:r>
          </w:p>
        </w:tc>
      </w:tr>
      <w:tr w:rsidR="00F74C69" w14:paraId="03796435"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00D0B8F" w14:textId="77777777" w:rsidR="00F74C69" w:rsidRDefault="00000000">
            <w:r>
              <w:t>Week 3 — Exploratory data analysis</w:t>
            </w:r>
          </w:p>
        </w:tc>
        <w:tc>
          <w:tcPr>
            <w:tcW w:w="3312" w:type="dxa"/>
          </w:tcPr>
          <w:p w14:paraId="5F811A6E" w14:textId="77777777" w:rsidR="00F74C69" w:rsidRDefault="00000000">
            <w:pPr>
              <w:cnfStyle w:val="000000100000" w:firstRow="0" w:lastRow="0" w:firstColumn="0" w:lastColumn="0" w:oddVBand="0" w:evenVBand="0" w:oddHBand="1" w:evenHBand="0" w:firstRowFirstColumn="0" w:firstRowLastColumn="0" w:lastRowFirstColumn="0" w:lastRowLastColumn="0"/>
            </w:pPr>
            <w:r>
              <w:t>Calculate summary statistics; compare selected commodities and markets; chart historical prices, price ranges, and percentage changes; investigate possible seasonality if data supports it.</w:t>
            </w:r>
          </w:p>
        </w:tc>
        <w:tc>
          <w:tcPr>
            <w:tcW w:w="3312" w:type="dxa"/>
          </w:tcPr>
          <w:p w14:paraId="76DFD19D" w14:textId="77777777" w:rsidR="00F74C69" w:rsidRDefault="00000000">
            <w:pPr>
              <w:cnfStyle w:val="000000100000" w:firstRow="0" w:lastRow="0" w:firstColumn="0" w:lastColumn="0" w:oddVBand="0" w:evenVBand="0" w:oddHBand="1" w:evenHBand="0" w:firstRowFirstColumn="0" w:firstRowLastColumn="0" w:lastRowFirstColumn="0" w:lastRowLastColumn="0"/>
            </w:pPr>
            <w:r>
              <w:t>EDA notebook, charts, and preliminary observations.</w:t>
            </w:r>
          </w:p>
        </w:tc>
      </w:tr>
      <w:tr w:rsidR="00F74C69" w14:paraId="2B3906D0" w14:textId="77777777" w:rsidTr="00F74C69">
        <w:tc>
          <w:tcPr>
            <w:cnfStyle w:val="001000000000" w:firstRow="0" w:lastRow="0" w:firstColumn="1" w:lastColumn="0" w:oddVBand="0" w:evenVBand="0" w:oddHBand="0" w:evenHBand="0" w:firstRowFirstColumn="0" w:firstRowLastColumn="0" w:lastRowFirstColumn="0" w:lastRowLastColumn="0"/>
            <w:tcW w:w="3312" w:type="dxa"/>
          </w:tcPr>
          <w:p w14:paraId="6305F595" w14:textId="0C9B17A0" w:rsidR="00F74C69" w:rsidRDefault="00000000">
            <w:r>
              <w:t xml:space="preserve">Week 4 — </w:t>
            </w:r>
            <w:r w:rsidR="007B6605" w:rsidRPr="007B6605">
              <w:t>Predictive Modeling Framework</w:t>
            </w:r>
          </w:p>
        </w:tc>
        <w:tc>
          <w:tcPr>
            <w:tcW w:w="3312" w:type="dxa"/>
          </w:tcPr>
          <w:p w14:paraId="76AB3509" w14:textId="302AB470" w:rsidR="00F74C69" w:rsidRDefault="002656B9">
            <w:pPr>
              <w:cnfStyle w:val="000000000000" w:firstRow="0" w:lastRow="0" w:firstColumn="0" w:lastColumn="0" w:oddVBand="0" w:evenVBand="0" w:oddHBand="0" w:evenHBand="0" w:firstRowFirstColumn="0" w:firstRowLastColumn="0" w:lastRowFirstColumn="0" w:lastRowLastColumn="0"/>
            </w:pPr>
            <w:r w:rsidRPr="002656B9">
              <w:t>Select a suitable price series, define features and a forecasting method, and plan chronological validation and evaluation metrics.</w:t>
            </w:r>
          </w:p>
        </w:tc>
        <w:tc>
          <w:tcPr>
            <w:tcW w:w="3312" w:type="dxa"/>
          </w:tcPr>
          <w:p w14:paraId="211E874B" w14:textId="46AD6DB1" w:rsidR="00F74C69" w:rsidRDefault="007B6605">
            <w:pPr>
              <w:cnfStyle w:val="000000000000" w:firstRow="0" w:lastRow="0" w:firstColumn="0" w:lastColumn="0" w:oddVBand="0" w:evenVBand="0" w:oddHBand="0" w:evenHBand="0" w:firstRowFirstColumn="0" w:firstRowLastColumn="0" w:lastRowFirstColumn="0" w:lastRowLastColumn="0"/>
            </w:pPr>
            <w:r w:rsidRPr="007B6605">
              <w:t>Predictive Modeling Framework</w:t>
            </w:r>
          </w:p>
        </w:tc>
      </w:tr>
      <w:tr w:rsidR="00F74C69" w14:paraId="57BDC258" w14:textId="77777777" w:rsidTr="00F74C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45C726BD" w14:textId="27995236" w:rsidR="00F74C69" w:rsidRDefault="00000000">
            <w:r>
              <w:t xml:space="preserve">Week 5 — </w:t>
            </w:r>
            <w:r w:rsidR="007B6605" w:rsidRPr="007B6605">
              <w:t>Model Evaluation and Reporting Strategy</w:t>
            </w:r>
          </w:p>
        </w:tc>
        <w:tc>
          <w:tcPr>
            <w:tcW w:w="3312" w:type="dxa"/>
          </w:tcPr>
          <w:p w14:paraId="0425FDF3" w14:textId="5F20BDBD" w:rsidR="00F74C69" w:rsidRDefault="007B6605">
            <w:pPr>
              <w:cnfStyle w:val="000000100000" w:firstRow="0" w:lastRow="0" w:firstColumn="0" w:lastColumn="0" w:oddVBand="0" w:evenVBand="0" w:oddHBand="1" w:evenHBand="0" w:firstRowFirstColumn="0" w:firstRowLastColumn="0" w:lastRowFirstColumn="0" w:lastRowLastColumn="0"/>
            </w:pPr>
            <w:r w:rsidRPr="007B6605">
              <w:t>Evaluate the model if implemented, interpret results, document limitations, and prepare the final report and GitHub repository.</w:t>
            </w:r>
          </w:p>
        </w:tc>
        <w:tc>
          <w:tcPr>
            <w:tcW w:w="3312" w:type="dxa"/>
          </w:tcPr>
          <w:p w14:paraId="408C0C39" w14:textId="72BB8CF2" w:rsidR="00F74C69" w:rsidRDefault="007B6605">
            <w:pPr>
              <w:cnfStyle w:val="000000100000" w:firstRow="0" w:lastRow="0" w:firstColumn="0" w:lastColumn="0" w:oddVBand="0" w:evenVBand="0" w:oddHBand="1" w:evenHBand="0" w:firstRowFirstColumn="0" w:firstRowLastColumn="0" w:lastRowFirstColumn="0" w:lastRowLastColumn="0"/>
            </w:pPr>
            <w:r w:rsidRPr="007B6605">
              <w:t>Model evaluation and reporting strategy</w:t>
            </w:r>
            <w:r>
              <w:t>.</w:t>
            </w:r>
          </w:p>
        </w:tc>
      </w:tr>
    </w:tbl>
    <w:p w14:paraId="25D5896E" w14:textId="77777777" w:rsidR="00F74C69" w:rsidRDefault="00000000">
      <w:pPr>
        <w:pStyle w:val="Heading1"/>
      </w:pPr>
      <w:r>
        <w:t>9. Risks, Limitations, and Mitigation</w:t>
      </w:r>
    </w:p>
    <w:p w14:paraId="0C06042D" w14:textId="77777777" w:rsidR="00F74C69" w:rsidRDefault="00000000">
      <w:pPr>
        <w:pStyle w:val="ListBullet"/>
      </w:pPr>
      <w:r>
        <w:rPr>
          <w:b/>
        </w:rPr>
        <w:t xml:space="preserve">Large files: </w:t>
      </w:r>
      <w:r>
        <w:t>Start with one year, commodity, or market; process files in chunks if necessary.</w:t>
      </w:r>
    </w:p>
    <w:p w14:paraId="5DDAE333" w14:textId="77777777" w:rsidR="00F74C69" w:rsidRDefault="00000000">
      <w:pPr>
        <w:pStyle w:val="ListBullet"/>
      </w:pPr>
      <w:r>
        <w:rPr>
          <w:b/>
        </w:rPr>
        <w:t xml:space="preserve">Missing or inconsistent records: </w:t>
      </w:r>
      <w:r>
        <w:t>Profile data quality before analysis and document cleaning rules.</w:t>
      </w:r>
    </w:p>
    <w:p w14:paraId="314B05DA" w14:textId="77777777" w:rsidR="00F74C69" w:rsidRDefault="00000000">
      <w:pPr>
        <w:pStyle w:val="ListBullet"/>
      </w:pPr>
      <w:r>
        <w:rPr>
          <w:b/>
        </w:rPr>
        <w:t xml:space="preserve">Uneven market coverage: </w:t>
      </w:r>
      <w:r>
        <w:t>Make comparisons only for groups with adequate observations and clearly state coverage limits.</w:t>
      </w:r>
    </w:p>
    <w:p w14:paraId="262C4C5F" w14:textId="77777777" w:rsidR="00F74C69" w:rsidRDefault="00000000">
      <w:pPr>
        <w:pStyle w:val="ListBullet"/>
      </w:pPr>
      <w:r>
        <w:rPr>
          <w:b/>
        </w:rPr>
        <w:t xml:space="preserve">Forecasting uncertainty: </w:t>
      </w:r>
      <w:r>
        <w:t>Use a simple baseline, chronological validation, and suitable error metrics; present results as exploratory rather than guaranteed predictions.</w:t>
      </w:r>
    </w:p>
    <w:p w14:paraId="0C7A99A1" w14:textId="77777777" w:rsidR="00F74C69" w:rsidRDefault="00000000">
      <w:pPr>
        <w:pStyle w:val="ListBullet"/>
      </w:pPr>
      <w:r>
        <w:rPr>
          <w:b/>
        </w:rPr>
        <w:t xml:space="preserve">Limited scope of selected dataset: </w:t>
      </w:r>
      <w:r>
        <w:t>Do not infer crop yield, production, rainfall, or resource utilization from price data alone; obtain separate sources if those indicators are required.</w:t>
      </w:r>
    </w:p>
    <w:p w14:paraId="5664630B" w14:textId="77777777" w:rsidR="00F74C69" w:rsidRDefault="00000000">
      <w:pPr>
        <w:pStyle w:val="ListBullet"/>
      </w:pPr>
      <w:r>
        <w:rPr>
          <w:b/>
        </w:rPr>
        <w:t xml:space="preserve">Licensing and attribution: </w:t>
      </w:r>
      <w:r>
        <w:t>Review the Kaggle dataset licence and source attribution terms before sharing data or derived files.</w:t>
      </w:r>
    </w:p>
    <w:p w14:paraId="6438879E" w14:textId="77777777" w:rsidR="00F74C69" w:rsidRDefault="00000000">
      <w:pPr>
        <w:pStyle w:val="Heading1"/>
      </w:pPr>
      <w:r>
        <w:lastRenderedPageBreak/>
        <w:t>10. Expected Outcomes</w:t>
      </w:r>
    </w:p>
    <w:p w14:paraId="67B7A471" w14:textId="77777777" w:rsidR="00F74C69" w:rsidRDefault="00000000">
      <w:r>
        <w:t>The expected outcome is a reproducible, clearly documented workflow for agricultural market price analysis. Deliverables will include a data-source record, data inspection and cleaning steps, descriptive statistics, visualizations, market/commodity comparisons, and—if the dataset supports it—a basic forecasting evaluation. The project will also identify data-quality issues and make clear which questions require additional datasets.</w:t>
      </w:r>
    </w:p>
    <w:p w14:paraId="0B2C8069" w14:textId="77777777" w:rsidR="00F74C69" w:rsidRDefault="00000000">
      <w:pPr>
        <w:pStyle w:val="Heading1"/>
      </w:pPr>
      <w:r>
        <w:t>11. References</w:t>
      </w:r>
    </w:p>
    <w:p w14:paraId="4546EB33" w14:textId="77777777" w:rsidR="00F74C69" w:rsidRDefault="00000000">
      <w:pPr>
        <w:pStyle w:val="ListNumber"/>
      </w:pPr>
      <w:r>
        <w:t>Kaggle. Daily Commodity Prices India. https://www.kaggle.com/datasets/khandelwalmanas/daily-commodity-prices-india</w:t>
      </w:r>
    </w:p>
    <w:p w14:paraId="4CB9E010" w14:textId="77777777" w:rsidR="00F74C69" w:rsidRDefault="00000000">
      <w:pPr>
        <w:pStyle w:val="ListNumber"/>
      </w:pPr>
      <w:r>
        <w:t>AGMARKNET. Agricultural Marketing Information Network, Government of India. https://agmarknet.gov.in/</w:t>
      </w:r>
    </w:p>
    <w:p w14:paraId="11D5AC2B" w14:textId="77777777" w:rsidR="00F74C69" w:rsidRDefault="00000000">
      <w:pPr>
        <w:pStyle w:val="ListNumber"/>
      </w:pPr>
      <w:r>
        <w:t>Open Government Data Platform India. https://www.data.gov.in/</w:t>
      </w:r>
    </w:p>
    <w:p w14:paraId="4D3AA5BE" w14:textId="77777777" w:rsidR="00F74C69" w:rsidRDefault="00000000">
      <w:pPr>
        <w:pStyle w:val="ListNumber"/>
      </w:pPr>
      <w:r>
        <w:t>Directorate of Economics and Statistics, Department of Agriculture &amp; Farmers Welfare. https://desagri.gov.in/</w:t>
      </w:r>
    </w:p>
    <w:p w14:paraId="5DF545BC" w14:textId="77777777" w:rsidR="00F74C69" w:rsidRDefault="00000000">
      <w:pPr>
        <w:pStyle w:val="ListNumber"/>
      </w:pPr>
      <w:r>
        <w:t>India Meteorological Department. https://mausam.imd.gov.in/</w:t>
      </w:r>
    </w:p>
    <w:sectPr w:rsidR="00F74C69" w:rsidSect="00D62597">
      <w:pgSz w:w="12240" w:h="15840"/>
      <w:pgMar w:top="1008" w:right="1152" w:bottom="1008" w:left="1152"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768652">
    <w:abstractNumId w:val="8"/>
  </w:num>
  <w:num w:numId="2" w16cid:durableId="189877230">
    <w:abstractNumId w:val="6"/>
  </w:num>
  <w:num w:numId="3" w16cid:durableId="781193933">
    <w:abstractNumId w:val="5"/>
  </w:num>
  <w:num w:numId="4" w16cid:durableId="1410804867">
    <w:abstractNumId w:val="4"/>
  </w:num>
  <w:num w:numId="5" w16cid:durableId="1994749684">
    <w:abstractNumId w:val="7"/>
  </w:num>
  <w:num w:numId="6" w16cid:durableId="802961202">
    <w:abstractNumId w:val="3"/>
  </w:num>
  <w:num w:numId="7" w16cid:durableId="1498155482">
    <w:abstractNumId w:val="2"/>
  </w:num>
  <w:num w:numId="8" w16cid:durableId="1033111981">
    <w:abstractNumId w:val="1"/>
  </w:num>
  <w:num w:numId="9" w16cid:durableId="16109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504"/>
    <w:rsid w:val="0006063C"/>
    <w:rsid w:val="000667CA"/>
    <w:rsid w:val="000A5E7E"/>
    <w:rsid w:val="0015074B"/>
    <w:rsid w:val="002656B9"/>
    <w:rsid w:val="0029639D"/>
    <w:rsid w:val="00326F90"/>
    <w:rsid w:val="007B6605"/>
    <w:rsid w:val="00AA1D8D"/>
    <w:rsid w:val="00B47730"/>
    <w:rsid w:val="00C11C38"/>
    <w:rsid w:val="00CB0664"/>
    <w:rsid w:val="00D62597"/>
    <w:rsid w:val="00EE189F"/>
    <w:rsid w:val="00F74C69"/>
    <w:rsid w:val="00FA5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C1FCB1"/>
  <w14:defaultImageDpi w14:val="300"/>
  <w15:docId w15:val="{CFAA8D10-712D-4CBE-BC49-87349D89B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D625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B57A3345AC410093AF824BAFBE672F"/>
        <w:category>
          <w:name w:val="General"/>
          <w:gallery w:val="placeholder"/>
        </w:category>
        <w:types>
          <w:type w:val="bbPlcHdr"/>
        </w:types>
        <w:behaviors>
          <w:behavior w:val="content"/>
        </w:behaviors>
        <w:guid w:val="{2EE8D5A4-ACA1-49C3-B2F6-58612BA602E2}"/>
      </w:docPartPr>
      <w:docPartBody>
        <w:p w:rsidR="00000000" w:rsidRDefault="00ED2901" w:rsidP="00ED2901">
          <w:pPr>
            <w:pStyle w:val="68B57A3345AC410093AF824BAFBE672F"/>
          </w:pPr>
          <w:r>
            <w:rPr>
              <w:rFonts w:asciiTheme="majorHAnsi" w:eastAsiaTheme="majorEastAsia" w:hAnsiTheme="majorHAnsi" w:cstheme="majorBidi"/>
              <w:caps/>
              <w:color w:val="4472C4" w:themeColor="accent1"/>
              <w:sz w:val="80"/>
              <w:szCs w:val="80"/>
            </w:rPr>
            <w:t>[Document title]</w:t>
          </w:r>
        </w:p>
      </w:docPartBody>
    </w:docPart>
    <w:docPart>
      <w:docPartPr>
        <w:name w:val="77FC0C2F30E14850BB5A4DFB9550242F"/>
        <w:category>
          <w:name w:val="General"/>
          <w:gallery w:val="placeholder"/>
        </w:category>
        <w:types>
          <w:type w:val="bbPlcHdr"/>
        </w:types>
        <w:behaviors>
          <w:behavior w:val="content"/>
        </w:behaviors>
        <w:guid w:val="{77A248A6-5B89-45B0-9E24-11CE281FEF55}"/>
      </w:docPartPr>
      <w:docPartBody>
        <w:p w:rsidR="00000000" w:rsidRDefault="00ED2901" w:rsidP="00ED2901">
          <w:pPr>
            <w:pStyle w:val="77FC0C2F30E14850BB5A4DFB9550242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901"/>
    <w:rsid w:val="00045504"/>
    <w:rsid w:val="00867AEF"/>
    <w:rsid w:val="00ED2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B57A3345AC410093AF824BAFBE672F">
    <w:name w:val="68B57A3345AC410093AF824BAFBE672F"/>
    <w:rsid w:val="00ED2901"/>
  </w:style>
  <w:style w:type="paragraph" w:customStyle="1" w:styleId="77FC0C2F30E14850BB5A4DFB9550242F">
    <w:name w:val="77FC0C2F30E14850BB5A4DFB9550242F"/>
    <w:rsid w:val="00ED29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WEEK 1 TASK </PublishDate>
  <Abstract/>
  <CompanyAddress>PREPARED BY: HILONI SHINDE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1360</Words>
  <Characters>7758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YUVA INTERN</Company>
  <LinksUpToDate>false</LinksUpToDate>
  <CharactersWithSpaces>9100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AGRIBUSINESS  DATA ANALYTICS</dc:title>
  <dc:subject>REPORT TYPE</dc:subject>
  <dc:creator>python-docx</dc:creator>
  <cp:keywords/>
  <dc:description>generated by python-docx</dc:description>
  <cp:lastModifiedBy>Smile Foundation</cp:lastModifiedBy>
  <cp:revision>5</cp:revision>
  <dcterms:created xsi:type="dcterms:W3CDTF">2026-10-16T09:22:00Z</dcterms:created>
  <dcterms:modified xsi:type="dcterms:W3CDTF">2026-10-16T09:23:00Z</dcterms:modified>
  <cp:category/>
</cp:coreProperties>
</file>