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78288" w14:textId="77777777" w:rsidR="00D73121" w:rsidRPr="0056055C" w:rsidRDefault="00000000">
      <w:pPr>
        <w:jc w:val="cente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TASK 1 – WEEK 1</w:t>
      </w:r>
      <w:r w:rsidRPr="0056055C">
        <w:rPr>
          <w:rFonts w:ascii="Times New Roman" w:hAnsi="Times New Roman" w:cs="Times New Roman"/>
          <w:b/>
          <w:color w:val="000000" w:themeColor="text1"/>
          <w:sz w:val="28"/>
          <w:szCs w:val="28"/>
        </w:rPr>
        <w:br/>
        <w:t>Strategic Planning and Data Exploration in Logistics</w:t>
      </w:r>
    </w:p>
    <w:p w14:paraId="0F2790AC"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br/>
      </w:r>
    </w:p>
    <w:p w14:paraId="23EF5CC6" w14:textId="58F13E5C" w:rsidR="0056055C" w:rsidRPr="0056055C" w:rsidRDefault="00000000" w:rsidP="0056055C">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Project Title:</w:t>
      </w:r>
      <w:r w:rsidR="0056055C" w:rsidRPr="0056055C">
        <w:rPr>
          <w:rFonts w:ascii="Times New Roman" w:hAnsi="Times New Roman" w:cs="Times New Roman"/>
          <w:color w:val="000000" w:themeColor="text1"/>
          <w:sz w:val="28"/>
          <w:szCs w:val="28"/>
        </w:rPr>
        <w:t xml:space="preserve"> </w:t>
      </w:r>
      <w:r w:rsidR="0056055C" w:rsidRPr="0056055C">
        <w:rPr>
          <w:rFonts w:ascii="Times New Roman" w:hAnsi="Times New Roman" w:cs="Times New Roman"/>
          <w:color w:val="000000" w:themeColor="text1"/>
          <w:sz w:val="28"/>
          <w:szCs w:val="28"/>
        </w:rPr>
        <w:t>Logistics Delivery Performance Analysis and Optimization Using Python</w:t>
      </w:r>
    </w:p>
    <w:p w14:paraId="090E290F" w14:textId="77777777" w:rsidR="00D73121" w:rsidRPr="0056055C" w:rsidRDefault="00000000" w:rsidP="0056055C">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Internship: Logistics Data Analyst</w:t>
      </w:r>
    </w:p>
    <w:p w14:paraId="7F49D5F9" w14:textId="77777777" w:rsidR="00D73121" w:rsidRPr="0056055C" w:rsidRDefault="00000000" w:rsidP="0056055C">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Week 1 Strategic Planning Report</w:t>
      </w:r>
    </w:p>
    <w:p w14:paraId="4EA2B422" w14:textId="77777777" w:rsidR="00D73121" w:rsidRPr="0056055C" w:rsidRDefault="00D73121">
      <w:pPr>
        <w:jc w:val="center"/>
        <w:rPr>
          <w:rFonts w:ascii="Times New Roman" w:hAnsi="Times New Roman" w:cs="Times New Roman"/>
          <w:color w:val="000000" w:themeColor="text1"/>
          <w:sz w:val="28"/>
          <w:szCs w:val="28"/>
        </w:rPr>
      </w:pPr>
    </w:p>
    <w:p w14:paraId="52E54DCC" w14:textId="5D7796D3" w:rsidR="00D73121" w:rsidRPr="0056055C" w:rsidRDefault="00000000" w:rsidP="0056055C">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 xml:space="preserve">Prepared by: </w:t>
      </w:r>
      <w:r w:rsidR="0056055C" w:rsidRPr="0056055C">
        <w:rPr>
          <w:rFonts w:ascii="Times New Roman" w:hAnsi="Times New Roman" w:cs="Times New Roman"/>
          <w:color w:val="000000" w:themeColor="text1"/>
          <w:sz w:val="28"/>
          <w:szCs w:val="28"/>
        </w:rPr>
        <w:t>Manvi Dinkar Shinde</w:t>
      </w:r>
    </w:p>
    <w:p w14:paraId="41481298" w14:textId="51515E55" w:rsidR="00D73121" w:rsidRPr="0056055C" w:rsidRDefault="00000000" w:rsidP="0056055C">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 xml:space="preserve">College: </w:t>
      </w:r>
      <w:r w:rsidR="0056055C" w:rsidRPr="0056055C">
        <w:rPr>
          <w:rFonts w:ascii="Times New Roman" w:hAnsi="Times New Roman" w:cs="Times New Roman"/>
          <w:color w:val="000000" w:themeColor="text1"/>
          <w:sz w:val="28"/>
          <w:szCs w:val="28"/>
        </w:rPr>
        <w:t>Vishwakarma Institute of Technology, Pune</w:t>
      </w:r>
    </w:p>
    <w:p w14:paraId="04FE1BDA"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br w:type="page"/>
      </w:r>
    </w:p>
    <w:p w14:paraId="237F2A60" w14:textId="77777777" w:rsidR="00D73121" w:rsidRPr="0056055C" w:rsidRDefault="00000000">
      <w:pPr>
        <w:pStyle w:val="Heading1"/>
        <w:rPr>
          <w:rFonts w:ascii="Times New Roman" w:hAnsi="Times New Roman" w:cs="Times New Roman"/>
          <w:color w:val="000000" w:themeColor="text1"/>
        </w:rPr>
      </w:pPr>
      <w:r w:rsidRPr="0056055C">
        <w:rPr>
          <w:rFonts w:ascii="Times New Roman" w:hAnsi="Times New Roman" w:cs="Times New Roman"/>
          <w:color w:val="000000" w:themeColor="text1"/>
        </w:rPr>
        <w:lastRenderedPageBreak/>
        <w:t>1. Background and Introduction</w:t>
      </w:r>
    </w:p>
    <w:p w14:paraId="608976D8"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Logistics is responsible for moving products from suppliers and warehouses to customers through coordinated activities such as transportation, order processing, inventory handling, and delivery. A logistics operation must balance time, cost, reliability, and resource use. When shipments are delayed or transportation resources are not allocated efficiently, the organization may experience higher costs and lower customer satisfaction.</w:t>
      </w:r>
    </w:p>
    <w:p w14:paraId="14A131BC"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Data analytics provides a structured way to understand logistics performance. Shipment-level information can be used to measure delivery reliability, identify patterns in delays, study transportation costs, and support predictive and optimization activities. The World Bank's Logistics Performance Index framework includes dimensions related to logistics services, tracking and tracing, competitively priced shipments, and timeliness, showing the importance of time, cost, reliability, and visibility in logistics performance.</w:t>
      </w:r>
    </w:p>
    <w:p w14:paraId="06FDB70B"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For this project, a realistic logistics scenario is considered in which a company manages multiple customer shipments across different destinations and transportation conditions. The proposed analysis will use Python to organize the data, examine performance indicators, identify important patterns, and later support prediction and optimization.</w:t>
      </w:r>
    </w:p>
    <w:p w14:paraId="4E63C7E2" w14:textId="77777777" w:rsidR="00D73121" w:rsidRPr="0056055C" w:rsidRDefault="00000000">
      <w:pPr>
        <w:pStyle w:val="Heading1"/>
        <w:rPr>
          <w:rFonts w:ascii="Times New Roman" w:hAnsi="Times New Roman" w:cs="Times New Roman"/>
          <w:color w:val="000000" w:themeColor="text1"/>
        </w:rPr>
      </w:pPr>
      <w:r w:rsidRPr="0056055C">
        <w:rPr>
          <w:rFonts w:ascii="Times New Roman" w:hAnsi="Times New Roman" w:cs="Times New Roman"/>
          <w:color w:val="000000" w:themeColor="text1"/>
        </w:rPr>
        <w:t>2. Project Definition: Logistics Scenario</w:t>
      </w:r>
    </w:p>
    <w:p w14:paraId="64F80D5B"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The proposed project focuses on analyzing the delivery performance of a logistics and supply chain operation. The company receives orders from customers, prepares shipments, selects a shipping method, transports products over different distances, and completes deliveries. The company wants to understand why some deliveries take longer than others and which operational factors are associated with delivery delays and transportation costs.</w:t>
      </w:r>
    </w:p>
    <w:p w14:paraId="1B253740"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The project will treat each shipment as an analytical record. Possible variables include shipment/order identifier, order date, shipping date, delivery date or delivery time, shipping mode, product category, quantity, distance, transportation cost, destination, and delivery status. These variables will later support exploratory analysis and predictive modeling.</w:t>
      </w:r>
    </w:p>
    <w:p w14:paraId="7DC547E5" w14:textId="77777777" w:rsidR="00D73121" w:rsidRPr="0056055C" w:rsidRDefault="00000000">
      <w:pPr>
        <w:pStyle w:val="Heading2"/>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2.1 Problem Statement</w:t>
      </w:r>
    </w:p>
    <w:p w14:paraId="14641E7F"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 xml:space="preserve">The organization needs a data-driven approach to monitor delivery performance, identify potential causes of delays, understand transportation-cost patterns, and support better allocation of logistics resources. The proposed project will develop a Python-based analytical workflow that can transform shipment data into performance indicators </w:t>
      </w:r>
      <w:r w:rsidRPr="0056055C">
        <w:rPr>
          <w:rFonts w:ascii="Times New Roman" w:hAnsi="Times New Roman" w:cs="Times New Roman"/>
          <w:color w:val="000000" w:themeColor="text1"/>
          <w:sz w:val="28"/>
          <w:szCs w:val="28"/>
        </w:rPr>
        <w:lastRenderedPageBreak/>
        <w:t>and actionable insights. In later stages, predictive modeling will be used to estimate delivery time and optimization strategies will be considered for improving operational efficiency.</w:t>
      </w:r>
    </w:p>
    <w:p w14:paraId="5FF29CD1" w14:textId="77777777" w:rsidR="00D73121" w:rsidRPr="0056055C" w:rsidRDefault="00000000">
      <w:pPr>
        <w:pStyle w:val="Heading1"/>
        <w:rPr>
          <w:rFonts w:ascii="Times New Roman" w:hAnsi="Times New Roman" w:cs="Times New Roman"/>
          <w:color w:val="000000" w:themeColor="text1"/>
        </w:rPr>
      </w:pPr>
      <w:r w:rsidRPr="0056055C">
        <w:rPr>
          <w:rFonts w:ascii="Times New Roman" w:hAnsi="Times New Roman" w:cs="Times New Roman"/>
          <w:color w:val="000000" w:themeColor="text1"/>
        </w:rPr>
        <w:t>3. Project Objectives</w:t>
      </w:r>
    </w:p>
    <w:p w14:paraId="7976DDFB" w14:textId="77777777" w:rsidR="00D73121" w:rsidRPr="0056055C" w:rsidRDefault="00000000">
      <w:pPr>
        <w:pStyle w:val="ListNumbe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Collect and organize a publicly available logistics/supply-chain dataset suitable for analysis.</w:t>
      </w:r>
    </w:p>
    <w:p w14:paraId="602EE124" w14:textId="77777777" w:rsidR="00D73121" w:rsidRPr="0056055C" w:rsidRDefault="00000000">
      <w:pPr>
        <w:pStyle w:val="ListNumbe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Define and calculate key performance indicators related to delivery time, reliability, distance, and transportation cost.</w:t>
      </w:r>
    </w:p>
    <w:p w14:paraId="017FFEC5" w14:textId="77777777" w:rsidR="00D73121" w:rsidRPr="0056055C" w:rsidRDefault="00000000">
      <w:pPr>
        <w:pStyle w:val="ListNumbe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Explore shipment-level patterns and identify factors that may be associated with delayed deliveries.</w:t>
      </w:r>
    </w:p>
    <w:p w14:paraId="265D7321" w14:textId="77777777" w:rsidR="00D73121" w:rsidRPr="0056055C" w:rsidRDefault="00000000">
      <w:pPr>
        <w:pStyle w:val="ListNumbe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Apply data-science concepts such as exploratory data analysis, regression, clustering, and optimization within the proposed workflow.</w:t>
      </w:r>
    </w:p>
    <w:p w14:paraId="6A168F3B" w14:textId="77777777" w:rsidR="00D73121" w:rsidRPr="0056055C" w:rsidRDefault="00000000">
      <w:pPr>
        <w:pStyle w:val="ListNumbe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Develop a clear end-to-end roadmap from data collection and cleaning to predictive modeling and decision support.</w:t>
      </w:r>
    </w:p>
    <w:p w14:paraId="7E81B265" w14:textId="77777777" w:rsidR="00D73121" w:rsidRPr="0056055C" w:rsidRDefault="00000000">
      <w:pPr>
        <w:pStyle w:val="ListNumbe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Prepare reusable Python code that can be extended in Weeks 2–4 of the internship.</w:t>
      </w:r>
    </w:p>
    <w:p w14:paraId="50A5BAAF" w14:textId="77777777" w:rsidR="00D73121" w:rsidRPr="0056055C" w:rsidRDefault="00000000">
      <w:pPr>
        <w:pStyle w:val="ListNumbe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Generate evidence-based recommendations after the later analysis stages are completed.</w:t>
      </w:r>
    </w:p>
    <w:p w14:paraId="00F7BE4B" w14:textId="77777777" w:rsidR="00D73121" w:rsidRPr="0056055C" w:rsidRDefault="00000000">
      <w:pPr>
        <w:pStyle w:val="Heading1"/>
        <w:rPr>
          <w:rFonts w:ascii="Times New Roman" w:hAnsi="Times New Roman" w:cs="Times New Roman"/>
          <w:color w:val="000000" w:themeColor="text1"/>
        </w:rPr>
      </w:pPr>
      <w:r w:rsidRPr="0056055C">
        <w:rPr>
          <w:rFonts w:ascii="Times New Roman" w:hAnsi="Times New Roman" w:cs="Times New Roman"/>
          <w:color w:val="000000" w:themeColor="text1"/>
        </w:rPr>
        <w:t>4. Key Performance Indicators (KPIs)</w:t>
      </w:r>
    </w:p>
    <w:p w14:paraId="3B4BFA3E"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The following KPIs are selected because they represent important aspects of logistics performance. The final values will be calculated after the dataset has been cleaned and analyzed.</w:t>
      </w:r>
    </w:p>
    <w:tbl>
      <w:tblPr>
        <w:tblStyle w:val="TableGrid"/>
        <w:tblW w:w="0" w:type="auto"/>
        <w:jc w:val="center"/>
        <w:tblLook w:val="04A0" w:firstRow="1" w:lastRow="0" w:firstColumn="1" w:lastColumn="0" w:noHBand="0" w:noVBand="1"/>
      </w:tblPr>
      <w:tblGrid>
        <w:gridCol w:w="2479"/>
        <w:gridCol w:w="2484"/>
        <w:gridCol w:w="2484"/>
        <w:gridCol w:w="2479"/>
      </w:tblGrid>
      <w:tr w:rsidR="00D73121" w:rsidRPr="0056055C" w14:paraId="6845DBCA" w14:textId="77777777">
        <w:trPr>
          <w:jc w:val="center"/>
        </w:trPr>
        <w:tc>
          <w:tcPr>
            <w:tcW w:w="2484" w:type="dxa"/>
            <w:shd w:val="clear" w:color="auto" w:fill="D9EAF7"/>
            <w:vAlign w:val="center"/>
          </w:tcPr>
          <w:p w14:paraId="6CCC02CD"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KPI</w:t>
            </w:r>
          </w:p>
        </w:tc>
        <w:tc>
          <w:tcPr>
            <w:tcW w:w="2484" w:type="dxa"/>
            <w:shd w:val="clear" w:color="auto" w:fill="D9EAF7"/>
            <w:vAlign w:val="center"/>
          </w:tcPr>
          <w:p w14:paraId="69945573"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Definition</w:t>
            </w:r>
          </w:p>
        </w:tc>
        <w:tc>
          <w:tcPr>
            <w:tcW w:w="2484" w:type="dxa"/>
            <w:shd w:val="clear" w:color="auto" w:fill="D9EAF7"/>
            <w:vAlign w:val="center"/>
          </w:tcPr>
          <w:p w14:paraId="7A9F1B07"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Purpose</w:t>
            </w:r>
          </w:p>
        </w:tc>
        <w:tc>
          <w:tcPr>
            <w:tcW w:w="2484" w:type="dxa"/>
            <w:shd w:val="clear" w:color="auto" w:fill="D9EAF7"/>
            <w:vAlign w:val="center"/>
          </w:tcPr>
          <w:p w14:paraId="44DCDE38"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Expected Use</w:t>
            </w:r>
          </w:p>
        </w:tc>
      </w:tr>
      <w:tr w:rsidR="00D73121" w:rsidRPr="0056055C" w14:paraId="13D772FF" w14:textId="77777777">
        <w:trPr>
          <w:jc w:val="center"/>
        </w:trPr>
        <w:tc>
          <w:tcPr>
            <w:tcW w:w="2484" w:type="dxa"/>
            <w:vAlign w:val="center"/>
          </w:tcPr>
          <w:p w14:paraId="5B0DBF3B"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On-Time Delivery Rate</w:t>
            </w:r>
          </w:p>
        </w:tc>
        <w:tc>
          <w:tcPr>
            <w:tcW w:w="2484" w:type="dxa"/>
            <w:vAlign w:val="center"/>
          </w:tcPr>
          <w:p w14:paraId="396E1506"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Percentage of shipments delivered within the scheduled/expected time.</w:t>
            </w:r>
          </w:p>
        </w:tc>
        <w:tc>
          <w:tcPr>
            <w:tcW w:w="2484" w:type="dxa"/>
            <w:vAlign w:val="center"/>
          </w:tcPr>
          <w:p w14:paraId="4F2951CF"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Measures delivery reliability.</w:t>
            </w:r>
          </w:p>
        </w:tc>
        <w:tc>
          <w:tcPr>
            <w:tcW w:w="2484" w:type="dxa"/>
            <w:vAlign w:val="center"/>
          </w:tcPr>
          <w:p w14:paraId="7F3448BD"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Compare performance across shipping modes, regions, or periods.</w:t>
            </w:r>
          </w:p>
        </w:tc>
      </w:tr>
      <w:tr w:rsidR="00D73121" w:rsidRPr="0056055C" w14:paraId="74993D29" w14:textId="77777777">
        <w:trPr>
          <w:jc w:val="center"/>
        </w:trPr>
        <w:tc>
          <w:tcPr>
            <w:tcW w:w="2484" w:type="dxa"/>
            <w:vAlign w:val="center"/>
          </w:tcPr>
          <w:p w14:paraId="4B636FB0"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Average Delivery Time</w:t>
            </w:r>
          </w:p>
        </w:tc>
        <w:tc>
          <w:tcPr>
            <w:tcW w:w="2484" w:type="dxa"/>
            <w:vAlign w:val="center"/>
          </w:tcPr>
          <w:p w14:paraId="40C07E9E"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Average time taken from shipment/order processing to delivery.</w:t>
            </w:r>
          </w:p>
        </w:tc>
        <w:tc>
          <w:tcPr>
            <w:tcW w:w="2484" w:type="dxa"/>
            <w:vAlign w:val="center"/>
          </w:tcPr>
          <w:p w14:paraId="33C63869"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Measures delivery speed.</w:t>
            </w:r>
          </w:p>
        </w:tc>
        <w:tc>
          <w:tcPr>
            <w:tcW w:w="2484" w:type="dxa"/>
            <w:vAlign w:val="center"/>
          </w:tcPr>
          <w:p w14:paraId="566ED2C9"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Identify slow operational segments and support prediction.</w:t>
            </w:r>
          </w:p>
        </w:tc>
      </w:tr>
      <w:tr w:rsidR="00D73121" w:rsidRPr="0056055C" w14:paraId="3222EDEF" w14:textId="77777777">
        <w:trPr>
          <w:jc w:val="center"/>
        </w:trPr>
        <w:tc>
          <w:tcPr>
            <w:tcW w:w="2484" w:type="dxa"/>
            <w:vAlign w:val="center"/>
          </w:tcPr>
          <w:p w14:paraId="35CC4D6C"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Delivery Delay Rate</w:t>
            </w:r>
          </w:p>
        </w:tc>
        <w:tc>
          <w:tcPr>
            <w:tcW w:w="2484" w:type="dxa"/>
            <w:vAlign w:val="center"/>
          </w:tcPr>
          <w:p w14:paraId="79C30811"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Percentage of shipments classified as delayed.</w:t>
            </w:r>
          </w:p>
        </w:tc>
        <w:tc>
          <w:tcPr>
            <w:tcW w:w="2484" w:type="dxa"/>
            <w:vAlign w:val="center"/>
          </w:tcPr>
          <w:p w14:paraId="4A195A3A"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Measures frequency of delivery problems.</w:t>
            </w:r>
          </w:p>
        </w:tc>
        <w:tc>
          <w:tcPr>
            <w:tcW w:w="2484" w:type="dxa"/>
            <w:vAlign w:val="center"/>
          </w:tcPr>
          <w:p w14:paraId="49A74C32"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Identify areas requiring operational attention.</w:t>
            </w:r>
          </w:p>
        </w:tc>
      </w:tr>
      <w:tr w:rsidR="00D73121" w:rsidRPr="0056055C" w14:paraId="25F4A69F" w14:textId="77777777">
        <w:trPr>
          <w:jc w:val="center"/>
        </w:trPr>
        <w:tc>
          <w:tcPr>
            <w:tcW w:w="2484" w:type="dxa"/>
            <w:vAlign w:val="center"/>
          </w:tcPr>
          <w:p w14:paraId="010EC684"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Transportation Cost</w:t>
            </w:r>
          </w:p>
        </w:tc>
        <w:tc>
          <w:tcPr>
            <w:tcW w:w="2484" w:type="dxa"/>
            <w:vAlign w:val="center"/>
          </w:tcPr>
          <w:p w14:paraId="2EE25D84"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 xml:space="preserve">Cost associated </w:t>
            </w:r>
            <w:r w:rsidRPr="0056055C">
              <w:rPr>
                <w:rFonts w:ascii="Times New Roman" w:hAnsi="Times New Roman" w:cs="Times New Roman"/>
                <w:color w:val="000000" w:themeColor="text1"/>
                <w:sz w:val="28"/>
                <w:szCs w:val="28"/>
              </w:rPr>
              <w:lastRenderedPageBreak/>
              <w:t>with transporting a shipment.</w:t>
            </w:r>
          </w:p>
        </w:tc>
        <w:tc>
          <w:tcPr>
            <w:tcW w:w="2484" w:type="dxa"/>
            <w:vAlign w:val="center"/>
          </w:tcPr>
          <w:p w14:paraId="3D2A6732"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lastRenderedPageBreak/>
              <w:t xml:space="preserve">Measures logistics </w:t>
            </w:r>
            <w:r w:rsidRPr="0056055C">
              <w:rPr>
                <w:rFonts w:ascii="Times New Roman" w:hAnsi="Times New Roman" w:cs="Times New Roman"/>
                <w:color w:val="000000" w:themeColor="text1"/>
                <w:sz w:val="28"/>
                <w:szCs w:val="28"/>
              </w:rPr>
              <w:lastRenderedPageBreak/>
              <w:t>expenditure.</w:t>
            </w:r>
          </w:p>
        </w:tc>
        <w:tc>
          <w:tcPr>
            <w:tcW w:w="2484" w:type="dxa"/>
            <w:vAlign w:val="center"/>
          </w:tcPr>
          <w:p w14:paraId="1EC5D121"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lastRenderedPageBreak/>
              <w:t xml:space="preserve">Study cost drivers </w:t>
            </w:r>
            <w:r w:rsidRPr="0056055C">
              <w:rPr>
                <w:rFonts w:ascii="Times New Roman" w:hAnsi="Times New Roman" w:cs="Times New Roman"/>
                <w:color w:val="000000" w:themeColor="text1"/>
                <w:sz w:val="28"/>
                <w:szCs w:val="28"/>
              </w:rPr>
              <w:lastRenderedPageBreak/>
              <w:t>and support cost-minimization analysis.</w:t>
            </w:r>
          </w:p>
        </w:tc>
      </w:tr>
      <w:tr w:rsidR="00D73121" w:rsidRPr="0056055C" w14:paraId="73AD3F01" w14:textId="77777777">
        <w:trPr>
          <w:jc w:val="center"/>
        </w:trPr>
        <w:tc>
          <w:tcPr>
            <w:tcW w:w="2484" w:type="dxa"/>
            <w:vAlign w:val="center"/>
          </w:tcPr>
          <w:p w14:paraId="35A8EE1D"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lastRenderedPageBreak/>
              <w:t>Average Shipment Distance</w:t>
            </w:r>
          </w:p>
        </w:tc>
        <w:tc>
          <w:tcPr>
            <w:tcW w:w="2484" w:type="dxa"/>
            <w:vAlign w:val="center"/>
          </w:tcPr>
          <w:p w14:paraId="2CC3ABE6"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Average distance associated with shipments.</w:t>
            </w:r>
          </w:p>
        </w:tc>
        <w:tc>
          <w:tcPr>
            <w:tcW w:w="2484" w:type="dxa"/>
            <w:vAlign w:val="center"/>
          </w:tcPr>
          <w:p w14:paraId="69A65677"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Represents route/transportation requirements.</w:t>
            </w:r>
          </w:p>
        </w:tc>
        <w:tc>
          <w:tcPr>
            <w:tcW w:w="2484" w:type="dxa"/>
            <w:vAlign w:val="center"/>
          </w:tcPr>
          <w:p w14:paraId="2D50111D"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Study relationship between distance, time, and cost.</w:t>
            </w:r>
          </w:p>
        </w:tc>
      </w:tr>
    </w:tbl>
    <w:p w14:paraId="5856EF6A" w14:textId="77777777" w:rsidR="00D73121" w:rsidRPr="0056055C" w:rsidRDefault="00000000">
      <w:pPr>
        <w:pStyle w:val="Heading1"/>
        <w:rPr>
          <w:rFonts w:ascii="Times New Roman" w:hAnsi="Times New Roman" w:cs="Times New Roman"/>
          <w:color w:val="000000" w:themeColor="text1"/>
        </w:rPr>
      </w:pPr>
      <w:r w:rsidRPr="0056055C">
        <w:rPr>
          <w:rFonts w:ascii="Times New Roman" w:hAnsi="Times New Roman" w:cs="Times New Roman"/>
          <w:color w:val="000000" w:themeColor="text1"/>
        </w:rPr>
        <w:t>5. Literature and Data Research</w:t>
      </w:r>
    </w:p>
    <w:p w14:paraId="1A2B9EA3"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A publicly available DataCo Smart Supply Chain dataset is proposed as the main reference dataset for this project. The dataset documentation on Kaggle describes it as supply-chain data used for analysis and machine-learning applications. It contains structured supply-chain data and also provides a description file for variables. The dataset includes supply-chain activities involving provisioning, production, sales, and commercial distribution.</w:t>
      </w:r>
    </w:p>
    <w:p w14:paraId="167180A0"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The World Bank provides an additional reference framework for understanding logistics performance. Its Logistics Performance Index includes dimensions such as customs efficiency, infrastructure, competence and quality of logistics services, tracking and tracing, competitively priced shipments, and timeliness. The 2025 LPI 2.0 redesign also places greater emphasis on shipment-level operational data and measures of supply-chain speed, reliability, and connectivity.</w:t>
      </w:r>
    </w:p>
    <w:p w14:paraId="1B603073"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These sources support the selection of delivery time, delay/reliability, transportation cost, and shipment characteristics as useful analytical dimensions. The project will use the public dataset as a practical analytical source; World Bank material is used as contextual literature for defining logistics-performance concepts.</w:t>
      </w:r>
    </w:p>
    <w:p w14:paraId="542F79B4" w14:textId="77777777" w:rsidR="00D73121" w:rsidRPr="0056055C" w:rsidRDefault="00000000">
      <w:pPr>
        <w:pStyle w:val="Heading2"/>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5.1 Proposed Dataset</w:t>
      </w:r>
    </w:p>
    <w:tbl>
      <w:tblPr>
        <w:tblStyle w:val="TableGrid"/>
        <w:tblW w:w="0" w:type="auto"/>
        <w:jc w:val="center"/>
        <w:tblLook w:val="04A0" w:firstRow="1" w:lastRow="0" w:firstColumn="1" w:lastColumn="0" w:noHBand="0" w:noVBand="1"/>
      </w:tblPr>
      <w:tblGrid>
        <w:gridCol w:w="3308"/>
        <w:gridCol w:w="3309"/>
        <w:gridCol w:w="3309"/>
      </w:tblGrid>
      <w:tr w:rsidR="00D73121" w:rsidRPr="0056055C" w14:paraId="2EBD3305" w14:textId="77777777">
        <w:trPr>
          <w:jc w:val="center"/>
        </w:trPr>
        <w:tc>
          <w:tcPr>
            <w:tcW w:w="3312" w:type="dxa"/>
            <w:shd w:val="clear" w:color="auto" w:fill="D9EAF7"/>
            <w:vAlign w:val="center"/>
          </w:tcPr>
          <w:p w14:paraId="3C5CC4A2"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Item</w:t>
            </w:r>
          </w:p>
        </w:tc>
        <w:tc>
          <w:tcPr>
            <w:tcW w:w="3312" w:type="dxa"/>
            <w:shd w:val="clear" w:color="auto" w:fill="D9EAF7"/>
            <w:vAlign w:val="center"/>
          </w:tcPr>
          <w:p w14:paraId="4DF05750"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Proposed Source/Content</w:t>
            </w:r>
          </w:p>
        </w:tc>
        <w:tc>
          <w:tcPr>
            <w:tcW w:w="3312" w:type="dxa"/>
            <w:shd w:val="clear" w:color="auto" w:fill="D9EAF7"/>
            <w:vAlign w:val="center"/>
          </w:tcPr>
          <w:p w14:paraId="18527773"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Purpose</w:t>
            </w:r>
          </w:p>
        </w:tc>
      </w:tr>
      <w:tr w:rsidR="00D73121" w:rsidRPr="0056055C" w14:paraId="6CE662EF" w14:textId="77777777">
        <w:trPr>
          <w:jc w:val="center"/>
        </w:trPr>
        <w:tc>
          <w:tcPr>
            <w:tcW w:w="3312" w:type="dxa"/>
            <w:vAlign w:val="center"/>
          </w:tcPr>
          <w:p w14:paraId="2B5B2228"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Dataset</w:t>
            </w:r>
          </w:p>
        </w:tc>
        <w:tc>
          <w:tcPr>
            <w:tcW w:w="3312" w:type="dxa"/>
            <w:vAlign w:val="center"/>
          </w:tcPr>
          <w:p w14:paraId="623A1C1D"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DataCo Smart Supply Chain – public dataset</w:t>
            </w:r>
          </w:p>
        </w:tc>
        <w:tc>
          <w:tcPr>
            <w:tcW w:w="3312" w:type="dxa"/>
            <w:vAlign w:val="center"/>
          </w:tcPr>
          <w:p w14:paraId="6A557E97"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Primary data source for the project</w:t>
            </w:r>
          </w:p>
        </w:tc>
      </w:tr>
      <w:tr w:rsidR="00D73121" w:rsidRPr="0056055C" w14:paraId="0EFD9FB1" w14:textId="77777777">
        <w:trPr>
          <w:jc w:val="center"/>
        </w:trPr>
        <w:tc>
          <w:tcPr>
            <w:tcW w:w="3312" w:type="dxa"/>
            <w:vAlign w:val="center"/>
          </w:tcPr>
          <w:p w14:paraId="5D6E633C"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Data type</w:t>
            </w:r>
          </w:p>
        </w:tc>
        <w:tc>
          <w:tcPr>
            <w:tcW w:w="3312" w:type="dxa"/>
            <w:vAlign w:val="center"/>
          </w:tcPr>
          <w:p w14:paraId="6EE1CABD"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Structured supply-chain records; supporting variable description</w:t>
            </w:r>
          </w:p>
        </w:tc>
        <w:tc>
          <w:tcPr>
            <w:tcW w:w="3312" w:type="dxa"/>
            <w:vAlign w:val="center"/>
          </w:tcPr>
          <w:p w14:paraId="672B9B9C"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Understand shipment/order variables</w:t>
            </w:r>
          </w:p>
        </w:tc>
      </w:tr>
      <w:tr w:rsidR="00D73121" w:rsidRPr="0056055C" w14:paraId="437E4CDF" w14:textId="77777777">
        <w:trPr>
          <w:jc w:val="center"/>
        </w:trPr>
        <w:tc>
          <w:tcPr>
            <w:tcW w:w="3312" w:type="dxa"/>
            <w:vAlign w:val="center"/>
          </w:tcPr>
          <w:p w14:paraId="32E411FB"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Potential target</w:t>
            </w:r>
          </w:p>
        </w:tc>
        <w:tc>
          <w:tcPr>
            <w:tcW w:w="3312" w:type="dxa"/>
            <w:vAlign w:val="center"/>
          </w:tcPr>
          <w:p w14:paraId="7292AB5D"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Delivery/late-delivery related measure or delivery time, depending on available fields</w:t>
            </w:r>
          </w:p>
        </w:tc>
        <w:tc>
          <w:tcPr>
            <w:tcW w:w="3312" w:type="dxa"/>
            <w:vAlign w:val="center"/>
          </w:tcPr>
          <w:p w14:paraId="7FC4FF2D"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Prediction and performance analysis</w:t>
            </w:r>
          </w:p>
        </w:tc>
      </w:tr>
      <w:tr w:rsidR="00D73121" w:rsidRPr="0056055C" w14:paraId="21C5CC2C" w14:textId="77777777">
        <w:trPr>
          <w:jc w:val="center"/>
        </w:trPr>
        <w:tc>
          <w:tcPr>
            <w:tcW w:w="3312" w:type="dxa"/>
            <w:vAlign w:val="center"/>
          </w:tcPr>
          <w:p w14:paraId="5F57D3A9"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Supporting reference</w:t>
            </w:r>
          </w:p>
        </w:tc>
        <w:tc>
          <w:tcPr>
            <w:tcW w:w="3312" w:type="dxa"/>
            <w:vAlign w:val="center"/>
          </w:tcPr>
          <w:p w14:paraId="475FF3A1"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 xml:space="preserve">World Bank Logistics Performance Index </w:t>
            </w:r>
            <w:r w:rsidRPr="0056055C">
              <w:rPr>
                <w:rFonts w:ascii="Times New Roman" w:hAnsi="Times New Roman" w:cs="Times New Roman"/>
                <w:color w:val="000000" w:themeColor="text1"/>
                <w:sz w:val="28"/>
                <w:szCs w:val="28"/>
              </w:rPr>
              <w:lastRenderedPageBreak/>
              <w:t>resources</w:t>
            </w:r>
          </w:p>
        </w:tc>
        <w:tc>
          <w:tcPr>
            <w:tcW w:w="3312" w:type="dxa"/>
            <w:vAlign w:val="center"/>
          </w:tcPr>
          <w:p w14:paraId="47123D48"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lastRenderedPageBreak/>
              <w:t>Logistics-performance concepts and context</w:t>
            </w:r>
          </w:p>
        </w:tc>
      </w:tr>
    </w:tbl>
    <w:p w14:paraId="3C3685BB" w14:textId="77777777" w:rsidR="00D73121" w:rsidRPr="0056055C" w:rsidRDefault="00000000">
      <w:pPr>
        <w:pStyle w:val="Heading1"/>
        <w:rPr>
          <w:rFonts w:ascii="Times New Roman" w:hAnsi="Times New Roman" w:cs="Times New Roman"/>
          <w:color w:val="000000" w:themeColor="text1"/>
        </w:rPr>
      </w:pPr>
      <w:r w:rsidRPr="0056055C">
        <w:rPr>
          <w:rFonts w:ascii="Times New Roman" w:hAnsi="Times New Roman" w:cs="Times New Roman"/>
          <w:color w:val="000000" w:themeColor="text1"/>
        </w:rPr>
        <w:t>6. Application of Data Science Techniques</w:t>
      </w:r>
    </w:p>
    <w:p w14:paraId="12B5374B" w14:textId="77777777" w:rsidR="00D73121" w:rsidRPr="0056055C" w:rsidRDefault="00000000">
      <w:pPr>
        <w:pStyle w:val="Heading2"/>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6.1 Exploratory Data Analysis (EDA)</w:t>
      </w:r>
    </w:p>
    <w:p w14:paraId="4D17025A"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EDA will be used to understand the structure and distribution of the shipment data. Summary statistics, frequency tables, missing-value checks, distributions, and relationships between numerical variables will help identify patterns before modeling.</w:t>
      </w:r>
    </w:p>
    <w:p w14:paraId="06C202D4" w14:textId="77777777" w:rsidR="00D73121" w:rsidRPr="0056055C" w:rsidRDefault="00000000">
      <w:pPr>
        <w:pStyle w:val="Heading2"/>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6.2 Regression</w:t>
      </w:r>
    </w:p>
    <w:p w14:paraId="5BF3211B"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Regression can be used to estimate a continuous logistics metric such as delivery time. Potential explanatory variables may include distance, quantity, shipping mode, and transportation cost, subject to the actual fields available in the selected dataset.</w:t>
      </w:r>
    </w:p>
    <w:p w14:paraId="1949FB74" w14:textId="77777777" w:rsidR="00D73121" w:rsidRPr="0056055C" w:rsidRDefault="00000000">
      <w:pPr>
        <w:pStyle w:val="Heading2"/>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6.3 Clustering</w:t>
      </w:r>
    </w:p>
    <w:p w14:paraId="4640412B"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Clustering can group shipments or operational records with similar characteristics. For example, shipments could be grouped using distance, quantity, cost, and delivery-time features to identify operational segments with similar behavior.</w:t>
      </w:r>
    </w:p>
    <w:p w14:paraId="2A10F905" w14:textId="77777777" w:rsidR="00D73121" w:rsidRPr="0056055C" w:rsidRDefault="00000000">
      <w:pPr>
        <w:pStyle w:val="Heading2"/>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6.4 Optimization</w:t>
      </w:r>
    </w:p>
    <w:p w14:paraId="682E0BF5"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Optimization can be considered after analytical patterns are established. Potential objectives include reducing transportation cost, improving resource allocation, or supporting route and shipping-mode decisions. The exact optimization formulation will depend on the available data.</w:t>
      </w:r>
    </w:p>
    <w:p w14:paraId="498D995C" w14:textId="77777777" w:rsidR="00D73121" w:rsidRPr="0056055C" w:rsidRDefault="00000000">
      <w:pPr>
        <w:pStyle w:val="Heading2"/>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6.5 Data Visualization</w:t>
      </w:r>
    </w:p>
    <w:p w14:paraId="584132B7"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Charts will be used to communicate trends and relationships clearly. Examples include delivery-time distributions, cost-versus-distance plots, KPI comparisons, and correlation visualizations.</w:t>
      </w:r>
    </w:p>
    <w:p w14:paraId="58437D95" w14:textId="77777777" w:rsidR="00D73121" w:rsidRPr="0056055C" w:rsidRDefault="00000000">
      <w:pPr>
        <w:pStyle w:val="Heading1"/>
        <w:rPr>
          <w:rFonts w:ascii="Times New Roman" w:hAnsi="Times New Roman" w:cs="Times New Roman"/>
          <w:color w:val="000000" w:themeColor="text1"/>
        </w:rPr>
      </w:pPr>
      <w:r w:rsidRPr="0056055C">
        <w:rPr>
          <w:rFonts w:ascii="Times New Roman" w:hAnsi="Times New Roman" w:cs="Times New Roman"/>
          <w:color w:val="000000" w:themeColor="text1"/>
        </w:rPr>
        <w:t>7. Strategic Roadmap</w:t>
      </w:r>
    </w:p>
    <w:p w14:paraId="30359492"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The project will follow an end-to-end analytical workflow. Week 1 defines the plan; later weeks will implement the data preparation, analysis, visualization, prediction, and optimization stages.</w:t>
      </w:r>
    </w:p>
    <w:tbl>
      <w:tblPr>
        <w:tblStyle w:val="TableGrid"/>
        <w:tblW w:w="0" w:type="auto"/>
        <w:jc w:val="center"/>
        <w:tblLook w:val="04A0" w:firstRow="1" w:lastRow="0" w:firstColumn="1" w:lastColumn="0" w:noHBand="0" w:noVBand="1"/>
      </w:tblPr>
      <w:tblGrid>
        <w:gridCol w:w="4963"/>
        <w:gridCol w:w="4963"/>
      </w:tblGrid>
      <w:tr w:rsidR="00D73121" w:rsidRPr="0056055C" w14:paraId="4A08E7F4" w14:textId="77777777">
        <w:trPr>
          <w:jc w:val="center"/>
        </w:trPr>
        <w:tc>
          <w:tcPr>
            <w:tcW w:w="4968" w:type="dxa"/>
            <w:shd w:val="clear" w:color="auto" w:fill="D9EAF7"/>
            <w:vAlign w:val="center"/>
          </w:tcPr>
          <w:p w14:paraId="12917DE8"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Stage</w:t>
            </w:r>
          </w:p>
        </w:tc>
        <w:tc>
          <w:tcPr>
            <w:tcW w:w="4968" w:type="dxa"/>
            <w:shd w:val="clear" w:color="auto" w:fill="D9EAF7"/>
            <w:vAlign w:val="center"/>
          </w:tcPr>
          <w:p w14:paraId="7297F117"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Planned Activity</w:t>
            </w:r>
          </w:p>
        </w:tc>
      </w:tr>
      <w:tr w:rsidR="00D73121" w:rsidRPr="0056055C" w14:paraId="17F84186" w14:textId="77777777">
        <w:trPr>
          <w:jc w:val="center"/>
        </w:trPr>
        <w:tc>
          <w:tcPr>
            <w:tcW w:w="4968" w:type="dxa"/>
            <w:vAlign w:val="center"/>
          </w:tcPr>
          <w:p w14:paraId="52B76B5C"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1. Data Collection</w:t>
            </w:r>
          </w:p>
        </w:tc>
        <w:tc>
          <w:tcPr>
            <w:tcW w:w="4968" w:type="dxa"/>
            <w:vAlign w:val="center"/>
          </w:tcPr>
          <w:p w14:paraId="619E7B97"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Obtain the selected public logistics/supply-chain dataset and review its variable documentation.</w:t>
            </w:r>
          </w:p>
        </w:tc>
      </w:tr>
      <w:tr w:rsidR="00D73121" w:rsidRPr="0056055C" w14:paraId="7D1ABC8E" w14:textId="77777777">
        <w:trPr>
          <w:jc w:val="center"/>
        </w:trPr>
        <w:tc>
          <w:tcPr>
            <w:tcW w:w="4968" w:type="dxa"/>
            <w:vAlign w:val="center"/>
          </w:tcPr>
          <w:p w14:paraId="29F67A36"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2. Data Understanding</w:t>
            </w:r>
          </w:p>
        </w:tc>
        <w:tc>
          <w:tcPr>
            <w:tcW w:w="4968" w:type="dxa"/>
            <w:vAlign w:val="center"/>
          </w:tcPr>
          <w:p w14:paraId="6FBB3CDC"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 xml:space="preserve">Inspect columns, data types, records, </w:t>
            </w:r>
            <w:r w:rsidRPr="0056055C">
              <w:rPr>
                <w:rFonts w:ascii="Times New Roman" w:hAnsi="Times New Roman" w:cs="Times New Roman"/>
                <w:color w:val="000000" w:themeColor="text1"/>
                <w:sz w:val="28"/>
                <w:szCs w:val="28"/>
              </w:rPr>
              <w:lastRenderedPageBreak/>
              <w:t>categorical values, and target/KPI fields.</w:t>
            </w:r>
          </w:p>
        </w:tc>
      </w:tr>
      <w:tr w:rsidR="00D73121" w:rsidRPr="0056055C" w14:paraId="66C01F65" w14:textId="77777777">
        <w:trPr>
          <w:jc w:val="center"/>
        </w:trPr>
        <w:tc>
          <w:tcPr>
            <w:tcW w:w="4968" w:type="dxa"/>
            <w:vAlign w:val="center"/>
          </w:tcPr>
          <w:p w14:paraId="05C07E83"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lastRenderedPageBreak/>
              <w:t>3. Data Cleaning</w:t>
            </w:r>
          </w:p>
        </w:tc>
        <w:tc>
          <w:tcPr>
            <w:tcW w:w="4968" w:type="dxa"/>
            <w:vAlign w:val="center"/>
          </w:tcPr>
          <w:p w14:paraId="44C222DC"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Identify missing values, duplicates, inconsistent values, and possible outliers.</w:t>
            </w:r>
          </w:p>
        </w:tc>
      </w:tr>
      <w:tr w:rsidR="00D73121" w:rsidRPr="0056055C" w14:paraId="0FA7BCF5" w14:textId="77777777">
        <w:trPr>
          <w:jc w:val="center"/>
        </w:trPr>
        <w:tc>
          <w:tcPr>
            <w:tcW w:w="4968" w:type="dxa"/>
            <w:vAlign w:val="center"/>
          </w:tcPr>
          <w:p w14:paraId="73815ED9"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4. Data Preprocessing</w:t>
            </w:r>
          </w:p>
        </w:tc>
        <w:tc>
          <w:tcPr>
            <w:tcW w:w="4968" w:type="dxa"/>
            <w:vAlign w:val="center"/>
          </w:tcPr>
          <w:p w14:paraId="4520A005"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Convert data types, encode categorical variables when required, and scale numerical features when appropriate.</w:t>
            </w:r>
          </w:p>
        </w:tc>
      </w:tr>
      <w:tr w:rsidR="00D73121" w:rsidRPr="0056055C" w14:paraId="2414E4CE" w14:textId="77777777">
        <w:trPr>
          <w:jc w:val="center"/>
        </w:trPr>
        <w:tc>
          <w:tcPr>
            <w:tcW w:w="4968" w:type="dxa"/>
            <w:vAlign w:val="center"/>
          </w:tcPr>
          <w:p w14:paraId="3108AE04"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5. Exploratory Data Analysis</w:t>
            </w:r>
          </w:p>
        </w:tc>
        <w:tc>
          <w:tcPr>
            <w:tcW w:w="4968" w:type="dxa"/>
            <w:vAlign w:val="center"/>
          </w:tcPr>
          <w:p w14:paraId="35088CF8"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Calculate summary statistics and investigate distributions, trends, and relationships.</w:t>
            </w:r>
          </w:p>
        </w:tc>
      </w:tr>
      <w:tr w:rsidR="00D73121" w:rsidRPr="0056055C" w14:paraId="75E5B072" w14:textId="77777777">
        <w:trPr>
          <w:jc w:val="center"/>
        </w:trPr>
        <w:tc>
          <w:tcPr>
            <w:tcW w:w="4968" w:type="dxa"/>
            <w:vAlign w:val="center"/>
          </w:tcPr>
          <w:p w14:paraId="509A7D17"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6. Visualization</w:t>
            </w:r>
          </w:p>
        </w:tc>
        <w:tc>
          <w:tcPr>
            <w:tcW w:w="4968" w:type="dxa"/>
            <w:vAlign w:val="center"/>
          </w:tcPr>
          <w:p w14:paraId="51BDB56B"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Create charts to communicate logistics KPIs and important patterns.</w:t>
            </w:r>
          </w:p>
        </w:tc>
      </w:tr>
      <w:tr w:rsidR="00D73121" w:rsidRPr="0056055C" w14:paraId="333EE0A0" w14:textId="77777777">
        <w:trPr>
          <w:jc w:val="center"/>
        </w:trPr>
        <w:tc>
          <w:tcPr>
            <w:tcW w:w="4968" w:type="dxa"/>
            <w:vAlign w:val="center"/>
          </w:tcPr>
          <w:p w14:paraId="07AEF8CF"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7. Feature Engineering</w:t>
            </w:r>
          </w:p>
        </w:tc>
        <w:tc>
          <w:tcPr>
            <w:tcW w:w="4968" w:type="dxa"/>
            <w:vAlign w:val="center"/>
          </w:tcPr>
          <w:p w14:paraId="5E8BC62F"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 xml:space="preserve">Create useful derived features such as delivery duration or delay indicators </w:t>
            </w:r>
            <w:proofErr w:type="gramStart"/>
            <w:r w:rsidRPr="0056055C">
              <w:rPr>
                <w:rFonts w:ascii="Times New Roman" w:hAnsi="Times New Roman" w:cs="Times New Roman"/>
                <w:color w:val="000000" w:themeColor="text1"/>
                <w:sz w:val="28"/>
                <w:szCs w:val="28"/>
              </w:rPr>
              <w:t>where</w:t>
            </w:r>
            <w:proofErr w:type="gramEnd"/>
            <w:r w:rsidRPr="0056055C">
              <w:rPr>
                <w:rFonts w:ascii="Times New Roman" w:hAnsi="Times New Roman" w:cs="Times New Roman"/>
                <w:color w:val="000000" w:themeColor="text1"/>
                <w:sz w:val="28"/>
                <w:szCs w:val="28"/>
              </w:rPr>
              <w:t xml:space="preserve"> supported by the dataset.</w:t>
            </w:r>
          </w:p>
        </w:tc>
      </w:tr>
      <w:tr w:rsidR="00D73121" w:rsidRPr="0056055C" w14:paraId="15997F48" w14:textId="77777777">
        <w:trPr>
          <w:jc w:val="center"/>
        </w:trPr>
        <w:tc>
          <w:tcPr>
            <w:tcW w:w="4968" w:type="dxa"/>
            <w:vAlign w:val="center"/>
          </w:tcPr>
          <w:p w14:paraId="0E3C3504"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8. Predictive Modeling</w:t>
            </w:r>
          </w:p>
        </w:tc>
        <w:tc>
          <w:tcPr>
            <w:tcW w:w="4968" w:type="dxa"/>
            <w:vAlign w:val="center"/>
          </w:tcPr>
          <w:p w14:paraId="36CA9A98"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Train and validate a model for a selected delivery-performance target.</w:t>
            </w:r>
          </w:p>
        </w:tc>
      </w:tr>
      <w:tr w:rsidR="00D73121" w:rsidRPr="0056055C" w14:paraId="3FBB1D5D" w14:textId="77777777">
        <w:trPr>
          <w:jc w:val="center"/>
        </w:trPr>
        <w:tc>
          <w:tcPr>
            <w:tcW w:w="4968" w:type="dxa"/>
            <w:vAlign w:val="center"/>
          </w:tcPr>
          <w:p w14:paraId="3CB49A43"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9. Evaluation</w:t>
            </w:r>
          </w:p>
        </w:tc>
        <w:tc>
          <w:tcPr>
            <w:tcW w:w="4968" w:type="dxa"/>
            <w:vAlign w:val="center"/>
          </w:tcPr>
          <w:p w14:paraId="778EE383"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Use suitable metrics such as MAE, RMSE, or R² for a regression problem.</w:t>
            </w:r>
          </w:p>
        </w:tc>
      </w:tr>
      <w:tr w:rsidR="00D73121" w:rsidRPr="0056055C" w14:paraId="7CB36BEE" w14:textId="77777777">
        <w:trPr>
          <w:jc w:val="center"/>
        </w:trPr>
        <w:tc>
          <w:tcPr>
            <w:tcW w:w="4968" w:type="dxa"/>
            <w:vAlign w:val="center"/>
          </w:tcPr>
          <w:p w14:paraId="08624D88"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10. Optimization</w:t>
            </w:r>
          </w:p>
        </w:tc>
        <w:tc>
          <w:tcPr>
            <w:tcW w:w="4968" w:type="dxa"/>
            <w:vAlign w:val="center"/>
          </w:tcPr>
          <w:p w14:paraId="3E451E97"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Use model/EDA insights to propose resource, route, shipping-mode, or cost improvements.</w:t>
            </w:r>
          </w:p>
        </w:tc>
      </w:tr>
      <w:tr w:rsidR="00D73121" w:rsidRPr="0056055C" w14:paraId="62A62D7D" w14:textId="77777777">
        <w:trPr>
          <w:jc w:val="center"/>
        </w:trPr>
        <w:tc>
          <w:tcPr>
            <w:tcW w:w="4968" w:type="dxa"/>
            <w:vAlign w:val="center"/>
          </w:tcPr>
          <w:p w14:paraId="0A408AF1"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11. Recommendations</w:t>
            </w:r>
          </w:p>
        </w:tc>
        <w:tc>
          <w:tcPr>
            <w:tcW w:w="4968" w:type="dxa"/>
            <w:vAlign w:val="center"/>
          </w:tcPr>
          <w:p w14:paraId="691EEE3B"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Translate validated findings into practical logistics recommendations.</w:t>
            </w:r>
          </w:p>
        </w:tc>
      </w:tr>
    </w:tbl>
    <w:p w14:paraId="1C2C0F5F" w14:textId="77777777" w:rsidR="00D73121" w:rsidRPr="0056055C" w:rsidRDefault="00000000">
      <w:pPr>
        <w:pStyle w:val="Heading2"/>
        <w:rPr>
          <w:rFonts w:ascii="Times New Roman" w:hAnsi="Times New Roman" w:cs="Times New Roman"/>
          <w:b w:val="0"/>
          <w:bCs w:val="0"/>
          <w:color w:val="000000" w:themeColor="text1"/>
          <w:sz w:val="28"/>
          <w:szCs w:val="28"/>
        </w:rPr>
      </w:pPr>
      <w:r w:rsidRPr="0056055C">
        <w:rPr>
          <w:rFonts w:ascii="Times New Roman" w:hAnsi="Times New Roman" w:cs="Times New Roman"/>
          <w:b w:val="0"/>
          <w:bCs w:val="0"/>
          <w:color w:val="000000" w:themeColor="text1"/>
          <w:sz w:val="28"/>
          <w:szCs w:val="28"/>
        </w:rPr>
        <w:t>7.1 Process Flow</w:t>
      </w:r>
    </w:p>
    <w:p w14:paraId="615665C2" w14:textId="77777777" w:rsidR="00D73121" w:rsidRPr="0056055C" w:rsidRDefault="00000000" w:rsidP="0056055C">
      <w:pPr>
        <w:rPr>
          <w:rFonts w:ascii="Times New Roman" w:hAnsi="Times New Roman" w:cs="Times New Roman"/>
          <w:color w:val="000000" w:themeColor="text1"/>
          <w:sz w:val="28"/>
          <w:szCs w:val="28"/>
        </w:rPr>
      </w:pPr>
      <w:r w:rsidRPr="0056055C">
        <w:rPr>
          <w:rFonts w:ascii="Times New Roman" w:hAnsi="Times New Roman" w:cs="Times New Roman"/>
          <w:b/>
          <w:color w:val="000000" w:themeColor="text1"/>
          <w:sz w:val="28"/>
          <w:szCs w:val="28"/>
        </w:rPr>
        <w:t>Data Collection → Data Understanding → Data Cleaning → Preprocessing → EDA → Visualization → Feature Engineering → Predictive Modeling → Evaluation → Optimization → Recommendations</w:t>
      </w:r>
    </w:p>
    <w:p w14:paraId="4A8AB0CC" w14:textId="77777777" w:rsidR="00D73121" w:rsidRPr="0056055C" w:rsidRDefault="00000000">
      <w:pPr>
        <w:pStyle w:val="Heading1"/>
        <w:rPr>
          <w:rFonts w:ascii="Times New Roman" w:hAnsi="Times New Roman" w:cs="Times New Roman"/>
          <w:color w:val="000000" w:themeColor="text1"/>
        </w:rPr>
      </w:pPr>
      <w:r w:rsidRPr="0056055C">
        <w:rPr>
          <w:rFonts w:ascii="Times New Roman" w:hAnsi="Times New Roman" w:cs="Times New Roman"/>
          <w:color w:val="000000" w:themeColor="text1"/>
        </w:rPr>
        <w:t>8. Python Code Illustration</w:t>
      </w:r>
    </w:p>
    <w:p w14:paraId="45AD5C79"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The following initial Python script illustrates the planned data-ingestion and inspection stage. It is intentionally simple because Task 1 is the strategic planning phase. The script can be extended in later weeks for cleaning, visualization, and predictive modeling.</w:t>
      </w:r>
    </w:p>
    <w:p w14:paraId="26C16A0C"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import pandas as pd</w:t>
      </w:r>
      <w:r w:rsidRPr="0056055C">
        <w:rPr>
          <w:rFonts w:ascii="Times New Roman" w:hAnsi="Times New Roman" w:cs="Times New Roman"/>
          <w:color w:val="000000" w:themeColor="text1"/>
          <w:sz w:val="28"/>
          <w:szCs w:val="28"/>
        </w:rPr>
        <w:br/>
      </w:r>
      <w:r w:rsidRPr="0056055C">
        <w:rPr>
          <w:rFonts w:ascii="Times New Roman" w:hAnsi="Times New Roman" w:cs="Times New Roman"/>
          <w:color w:val="000000" w:themeColor="text1"/>
          <w:sz w:val="28"/>
          <w:szCs w:val="28"/>
        </w:rPr>
        <w:br/>
        <w:t># Load the public logistics dataset</w:t>
      </w:r>
      <w:r w:rsidRPr="0056055C">
        <w:rPr>
          <w:rFonts w:ascii="Times New Roman" w:hAnsi="Times New Roman" w:cs="Times New Roman"/>
          <w:color w:val="000000" w:themeColor="text1"/>
          <w:sz w:val="28"/>
          <w:szCs w:val="28"/>
        </w:rPr>
        <w:br/>
        <w:t xml:space="preserve">data = </w:t>
      </w:r>
      <w:proofErr w:type="gramStart"/>
      <w:r w:rsidRPr="0056055C">
        <w:rPr>
          <w:rFonts w:ascii="Times New Roman" w:hAnsi="Times New Roman" w:cs="Times New Roman"/>
          <w:color w:val="000000" w:themeColor="text1"/>
          <w:sz w:val="28"/>
          <w:szCs w:val="28"/>
        </w:rPr>
        <w:t>pd.read</w:t>
      </w:r>
      <w:proofErr w:type="gramEnd"/>
      <w:r w:rsidRPr="0056055C">
        <w:rPr>
          <w:rFonts w:ascii="Times New Roman" w:hAnsi="Times New Roman" w:cs="Times New Roman"/>
          <w:color w:val="000000" w:themeColor="text1"/>
          <w:sz w:val="28"/>
          <w:szCs w:val="28"/>
        </w:rPr>
        <w:t>_csv("DataCoSupplyChainDataset.csv")</w:t>
      </w:r>
      <w:r w:rsidRPr="0056055C">
        <w:rPr>
          <w:rFonts w:ascii="Times New Roman" w:hAnsi="Times New Roman" w:cs="Times New Roman"/>
          <w:color w:val="000000" w:themeColor="text1"/>
          <w:sz w:val="28"/>
          <w:szCs w:val="28"/>
        </w:rPr>
        <w:br/>
      </w:r>
      <w:r w:rsidRPr="0056055C">
        <w:rPr>
          <w:rFonts w:ascii="Times New Roman" w:hAnsi="Times New Roman" w:cs="Times New Roman"/>
          <w:color w:val="000000" w:themeColor="text1"/>
          <w:sz w:val="28"/>
          <w:szCs w:val="28"/>
        </w:rPr>
        <w:br/>
      </w:r>
      <w:r w:rsidRPr="0056055C">
        <w:rPr>
          <w:rFonts w:ascii="Times New Roman" w:hAnsi="Times New Roman" w:cs="Times New Roman"/>
          <w:color w:val="000000" w:themeColor="text1"/>
          <w:sz w:val="28"/>
          <w:szCs w:val="28"/>
        </w:rPr>
        <w:lastRenderedPageBreak/>
        <w:t># Display sample records</w:t>
      </w:r>
      <w:r w:rsidRPr="0056055C">
        <w:rPr>
          <w:rFonts w:ascii="Times New Roman" w:hAnsi="Times New Roman" w:cs="Times New Roman"/>
          <w:color w:val="000000" w:themeColor="text1"/>
          <w:sz w:val="28"/>
          <w:szCs w:val="28"/>
        </w:rPr>
        <w:br/>
        <w:t>print(</w:t>
      </w:r>
      <w:proofErr w:type="gramStart"/>
      <w:r w:rsidRPr="0056055C">
        <w:rPr>
          <w:rFonts w:ascii="Times New Roman" w:hAnsi="Times New Roman" w:cs="Times New Roman"/>
          <w:color w:val="000000" w:themeColor="text1"/>
          <w:sz w:val="28"/>
          <w:szCs w:val="28"/>
        </w:rPr>
        <w:t>data.head</w:t>
      </w:r>
      <w:proofErr w:type="gramEnd"/>
      <w:r w:rsidRPr="0056055C">
        <w:rPr>
          <w:rFonts w:ascii="Times New Roman" w:hAnsi="Times New Roman" w:cs="Times New Roman"/>
          <w:color w:val="000000" w:themeColor="text1"/>
          <w:sz w:val="28"/>
          <w:szCs w:val="28"/>
        </w:rPr>
        <w:t>())</w:t>
      </w:r>
      <w:r w:rsidRPr="0056055C">
        <w:rPr>
          <w:rFonts w:ascii="Times New Roman" w:hAnsi="Times New Roman" w:cs="Times New Roman"/>
          <w:color w:val="000000" w:themeColor="text1"/>
          <w:sz w:val="28"/>
          <w:szCs w:val="28"/>
        </w:rPr>
        <w:br/>
      </w:r>
      <w:r w:rsidRPr="0056055C">
        <w:rPr>
          <w:rFonts w:ascii="Times New Roman" w:hAnsi="Times New Roman" w:cs="Times New Roman"/>
          <w:color w:val="000000" w:themeColor="text1"/>
          <w:sz w:val="28"/>
          <w:szCs w:val="28"/>
        </w:rPr>
        <w:br/>
        <w:t># Inspect structure and data types</w:t>
      </w:r>
      <w:r w:rsidRPr="0056055C">
        <w:rPr>
          <w:rFonts w:ascii="Times New Roman" w:hAnsi="Times New Roman" w:cs="Times New Roman"/>
          <w:color w:val="000000" w:themeColor="text1"/>
          <w:sz w:val="28"/>
          <w:szCs w:val="28"/>
        </w:rPr>
        <w:br/>
        <w:t>print(</w:t>
      </w:r>
      <w:proofErr w:type="gramStart"/>
      <w:r w:rsidRPr="0056055C">
        <w:rPr>
          <w:rFonts w:ascii="Times New Roman" w:hAnsi="Times New Roman" w:cs="Times New Roman"/>
          <w:color w:val="000000" w:themeColor="text1"/>
          <w:sz w:val="28"/>
          <w:szCs w:val="28"/>
        </w:rPr>
        <w:t>data.info(</w:t>
      </w:r>
      <w:proofErr w:type="gramEnd"/>
      <w:r w:rsidRPr="0056055C">
        <w:rPr>
          <w:rFonts w:ascii="Times New Roman" w:hAnsi="Times New Roman" w:cs="Times New Roman"/>
          <w:color w:val="000000" w:themeColor="text1"/>
          <w:sz w:val="28"/>
          <w:szCs w:val="28"/>
        </w:rPr>
        <w:t>))</w:t>
      </w:r>
      <w:r w:rsidRPr="0056055C">
        <w:rPr>
          <w:rFonts w:ascii="Times New Roman" w:hAnsi="Times New Roman" w:cs="Times New Roman"/>
          <w:color w:val="000000" w:themeColor="text1"/>
          <w:sz w:val="28"/>
          <w:szCs w:val="28"/>
        </w:rPr>
        <w:br/>
      </w:r>
      <w:r w:rsidRPr="0056055C">
        <w:rPr>
          <w:rFonts w:ascii="Times New Roman" w:hAnsi="Times New Roman" w:cs="Times New Roman"/>
          <w:color w:val="000000" w:themeColor="text1"/>
          <w:sz w:val="28"/>
          <w:szCs w:val="28"/>
        </w:rPr>
        <w:br/>
        <w:t># Generate descriptive statistics</w:t>
      </w:r>
      <w:r w:rsidRPr="0056055C">
        <w:rPr>
          <w:rFonts w:ascii="Times New Roman" w:hAnsi="Times New Roman" w:cs="Times New Roman"/>
          <w:color w:val="000000" w:themeColor="text1"/>
          <w:sz w:val="28"/>
          <w:szCs w:val="28"/>
        </w:rPr>
        <w:br/>
        <w:t>print(</w:t>
      </w:r>
      <w:proofErr w:type="gramStart"/>
      <w:r w:rsidRPr="0056055C">
        <w:rPr>
          <w:rFonts w:ascii="Times New Roman" w:hAnsi="Times New Roman" w:cs="Times New Roman"/>
          <w:color w:val="000000" w:themeColor="text1"/>
          <w:sz w:val="28"/>
          <w:szCs w:val="28"/>
        </w:rPr>
        <w:t>data.describe</w:t>
      </w:r>
      <w:proofErr w:type="gramEnd"/>
      <w:r w:rsidRPr="0056055C">
        <w:rPr>
          <w:rFonts w:ascii="Times New Roman" w:hAnsi="Times New Roman" w:cs="Times New Roman"/>
          <w:color w:val="000000" w:themeColor="text1"/>
          <w:sz w:val="28"/>
          <w:szCs w:val="28"/>
        </w:rPr>
        <w:t>(include="all"))</w:t>
      </w:r>
      <w:r w:rsidRPr="0056055C">
        <w:rPr>
          <w:rFonts w:ascii="Times New Roman" w:hAnsi="Times New Roman" w:cs="Times New Roman"/>
          <w:color w:val="000000" w:themeColor="text1"/>
          <w:sz w:val="28"/>
          <w:szCs w:val="28"/>
        </w:rPr>
        <w:br/>
      </w:r>
      <w:r w:rsidRPr="0056055C">
        <w:rPr>
          <w:rFonts w:ascii="Times New Roman" w:hAnsi="Times New Roman" w:cs="Times New Roman"/>
          <w:color w:val="000000" w:themeColor="text1"/>
          <w:sz w:val="28"/>
          <w:szCs w:val="28"/>
        </w:rPr>
        <w:br/>
        <w:t># Check missing values</w:t>
      </w:r>
      <w:r w:rsidRPr="0056055C">
        <w:rPr>
          <w:rFonts w:ascii="Times New Roman" w:hAnsi="Times New Roman" w:cs="Times New Roman"/>
          <w:color w:val="000000" w:themeColor="text1"/>
          <w:sz w:val="28"/>
          <w:szCs w:val="28"/>
        </w:rPr>
        <w:br/>
        <w:t>print(</w:t>
      </w:r>
      <w:proofErr w:type="gramStart"/>
      <w:r w:rsidRPr="0056055C">
        <w:rPr>
          <w:rFonts w:ascii="Times New Roman" w:hAnsi="Times New Roman" w:cs="Times New Roman"/>
          <w:color w:val="000000" w:themeColor="text1"/>
          <w:sz w:val="28"/>
          <w:szCs w:val="28"/>
        </w:rPr>
        <w:t>data.isnull</w:t>
      </w:r>
      <w:proofErr w:type="gramEnd"/>
      <w:r w:rsidRPr="0056055C">
        <w:rPr>
          <w:rFonts w:ascii="Times New Roman" w:hAnsi="Times New Roman" w:cs="Times New Roman"/>
          <w:color w:val="000000" w:themeColor="text1"/>
          <w:sz w:val="28"/>
          <w:szCs w:val="28"/>
        </w:rPr>
        <w:t>(</w:t>
      </w:r>
      <w:proofErr w:type="gramStart"/>
      <w:r w:rsidRPr="0056055C">
        <w:rPr>
          <w:rFonts w:ascii="Times New Roman" w:hAnsi="Times New Roman" w:cs="Times New Roman"/>
          <w:color w:val="000000" w:themeColor="text1"/>
          <w:sz w:val="28"/>
          <w:szCs w:val="28"/>
        </w:rPr>
        <w:t>).sum</w:t>
      </w:r>
      <w:proofErr w:type="gramEnd"/>
      <w:r w:rsidRPr="0056055C">
        <w:rPr>
          <w:rFonts w:ascii="Times New Roman" w:hAnsi="Times New Roman" w:cs="Times New Roman"/>
          <w:color w:val="000000" w:themeColor="text1"/>
          <w:sz w:val="28"/>
          <w:szCs w:val="28"/>
        </w:rPr>
        <w:t>())</w:t>
      </w:r>
      <w:r w:rsidRPr="0056055C">
        <w:rPr>
          <w:rFonts w:ascii="Times New Roman" w:hAnsi="Times New Roman" w:cs="Times New Roman"/>
          <w:color w:val="000000" w:themeColor="text1"/>
          <w:sz w:val="28"/>
          <w:szCs w:val="28"/>
        </w:rPr>
        <w:br/>
      </w:r>
      <w:r w:rsidRPr="0056055C">
        <w:rPr>
          <w:rFonts w:ascii="Times New Roman" w:hAnsi="Times New Roman" w:cs="Times New Roman"/>
          <w:color w:val="000000" w:themeColor="text1"/>
          <w:sz w:val="28"/>
          <w:szCs w:val="28"/>
        </w:rPr>
        <w:br/>
        <w:t># Check duplicate records</w:t>
      </w:r>
      <w:r w:rsidRPr="0056055C">
        <w:rPr>
          <w:rFonts w:ascii="Times New Roman" w:hAnsi="Times New Roman" w:cs="Times New Roman"/>
          <w:color w:val="000000" w:themeColor="text1"/>
          <w:sz w:val="28"/>
          <w:szCs w:val="28"/>
        </w:rPr>
        <w:br/>
      </w:r>
      <w:proofErr w:type="gramStart"/>
      <w:r w:rsidRPr="0056055C">
        <w:rPr>
          <w:rFonts w:ascii="Times New Roman" w:hAnsi="Times New Roman" w:cs="Times New Roman"/>
          <w:color w:val="000000" w:themeColor="text1"/>
          <w:sz w:val="28"/>
          <w:szCs w:val="28"/>
        </w:rPr>
        <w:t>print(</w:t>
      </w:r>
      <w:proofErr w:type="gramEnd"/>
      <w:r w:rsidRPr="0056055C">
        <w:rPr>
          <w:rFonts w:ascii="Times New Roman" w:hAnsi="Times New Roman" w:cs="Times New Roman"/>
          <w:color w:val="000000" w:themeColor="text1"/>
          <w:sz w:val="28"/>
          <w:szCs w:val="28"/>
        </w:rPr>
        <w:t xml:space="preserve">"Duplicate rows:", </w:t>
      </w:r>
      <w:proofErr w:type="gramStart"/>
      <w:r w:rsidRPr="0056055C">
        <w:rPr>
          <w:rFonts w:ascii="Times New Roman" w:hAnsi="Times New Roman" w:cs="Times New Roman"/>
          <w:color w:val="000000" w:themeColor="text1"/>
          <w:sz w:val="28"/>
          <w:szCs w:val="28"/>
        </w:rPr>
        <w:t>data.duplicated</w:t>
      </w:r>
      <w:proofErr w:type="gramEnd"/>
      <w:r w:rsidRPr="0056055C">
        <w:rPr>
          <w:rFonts w:ascii="Times New Roman" w:hAnsi="Times New Roman" w:cs="Times New Roman"/>
          <w:color w:val="000000" w:themeColor="text1"/>
          <w:sz w:val="28"/>
          <w:szCs w:val="28"/>
        </w:rPr>
        <w:t>(</w:t>
      </w:r>
      <w:proofErr w:type="gramStart"/>
      <w:r w:rsidRPr="0056055C">
        <w:rPr>
          <w:rFonts w:ascii="Times New Roman" w:hAnsi="Times New Roman" w:cs="Times New Roman"/>
          <w:color w:val="000000" w:themeColor="text1"/>
          <w:sz w:val="28"/>
          <w:szCs w:val="28"/>
        </w:rPr>
        <w:t>).sum</w:t>
      </w:r>
      <w:proofErr w:type="gramEnd"/>
      <w:r w:rsidRPr="0056055C">
        <w:rPr>
          <w:rFonts w:ascii="Times New Roman" w:hAnsi="Times New Roman" w:cs="Times New Roman"/>
          <w:color w:val="000000" w:themeColor="text1"/>
          <w:sz w:val="28"/>
          <w:szCs w:val="28"/>
        </w:rPr>
        <w:t>())</w:t>
      </w:r>
      <w:r w:rsidRPr="0056055C">
        <w:rPr>
          <w:rFonts w:ascii="Times New Roman" w:hAnsi="Times New Roman" w:cs="Times New Roman"/>
          <w:color w:val="000000" w:themeColor="text1"/>
          <w:sz w:val="28"/>
          <w:szCs w:val="28"/>
        </w:rPr>
        <w:br/>
      </w:r>
    </w:p>
    <w:p w14:paraId="650E0AE6"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Note: The exact column names and target variable will be confirmed after inspecting the downloaded dataset. The code above therefore demonstrates the planned workflow without claiming results that have not yet been calculated.</w:t>
      </w:r>
    </w:p>
    <w:p w14:paraId="66C510C3" w14:textId="77777777" w:rsidR="00D73121" w:rsidRPr="0056055C" w:rsidRDefault="00000000">
      <w:pPr>
        <w:pStyle w:val="Heading1"/>
        <w:rPr>
          <w:rFonts w:ascii="Times New Roman" w:hAnsi="Times New Roman" w:cs="Times New Roman"/>
          <w:color w:val="000000" w:themeColor="text1"/>
        </w:rPr>
      </w:pPr>
      <w:r w:rsidRPr="0056055C">
        <w:rPr>
          <w:rFonts w:ascii="Times New Roman" w:hAnsi="Times New Roman" w:cs="Times New Roman"/>
          <w:color w:val="000000" w:themeColor="text1"/>
        </w:rPr>
        <w:t>9. Expected Outcomes</w:t>
      </w:r>
    </w:p>
    <w:p w14:paraId="312108AB" w14:textId="77777777" w:rsidR="00D73121" w:rsidRPr="0056055C" w:rsidRDefault="00000000">
      <w:pPr>
        <w:pStyle w:val="ListBullet"/>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A structured understanding of the selected logistics dataset and its variables.</w:t>
      </w:r>
    </w:p>
    <w:p w14:paraId="5B565D50" w14:textId="77777777" w:rsidR="00D73121" w:rsidRPr="0056055C" w:rsidRDefault="00000000">
      <w:pPr>
        <w:pStyle w:val="ListBullet"/>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A defined set of logistics KPIs that can be calculated consistently.</w:t>
      </w:r>
    </w:p>
    <w:p w14:paraId="1B46B40F" w14:textId="77777777" w:rsidR="00D73121" w:rsidRPr="0056055C" w:rsidRDefault="00000000">
      <w:pPr>
        <w:pStyle w:val="ListBullet"/>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Identification of potential relationships among delivery time, distance, quantity, cost, and shipping characteristics.</w:t>
      </w:r>
    </w:p>
    <w:p w14:paraId="02766FCE" w14:textId="77777777" w:rsidR="00D73121" w:rsidRPr="0056055C" w:rsidRDefault="00000000">
      <w:pPr>
        <w:pStyle w:val="ListBullet"/>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A reusable Python-based workflow for data preparation and analysis.</w:t>
      </w:r>
    </w:p>
    <w:p w14:paraId="14ABE8D6" w14:textId="77777777" w:rsidR="00D73121" w:rsidRPr="0056055C" w:rsidRDefault="00000000">
      <w:pPr>
        <w:pStyle w:val="ListBullet"/>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A foundation for predictive modeling of delivery performance in Week 4.</w:t>
      </w:r>
    </w:p>
    <w:p w14:paraId="221019A9" w14:textId="77777777" w:rsidR="00D73121" w:rsidRPr="0056055C" w:rsidRDefault="00000000">
      <w:pPr>
        <w:pStyle w:val="ListBullet"/>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Analytical evidence that can later support logistics resource-allocation and cost-reduction strategies.</w:t>
      </w:r>
    </w:p>
    <w:p w14:paraId="5EB5308D" w14:textId="77777777" w:rsidR="00D73121" w:rsidRPr="0056055C" w:rsidRDefault="00000000">
      <w:pPr>
        <w:pStyle w:val="Heading1"/>
        <w:rPr>
          <w:rFonts w:ascii="Times New Roman" w:hAnsi="Times New Roman" w:cs="Times New Roman"/>
          <w:color w:val="000000" w:themeColor="text1"/>
        </w:rPr>
      </w:pPr>
      <w:r w:rsidRPr="0056055C">
        <w:rPr>
          <w:rFonts w:ascii="Times New Roman" w:hAnsi="Times New Roman" w:cs="Times New Roman"/>
          <w:color w:val="000000" w:themeColor="text1"/>
        </w:rPr>
        <w:t>10. Scope and Limitations of Task 1</w:t>
      </w:r>
    </w:p>
    <w:p w14:paraId="681467FD"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Task 1 is a planning and strategy exercise. No final predictive accuracy, cost reduction, or operational improvement should be claimed at this stage because those outcomes require the dataset to be processed and analyzed in subsequent tasks. The exact variables, target definition, and modeling approach may be refined after inspecting the actual dataset. Recommendations in this report are therefore proposed analytical directions rather than measured business results.</w:t>
      </w:r>
    </w:p>
    <w:p w14:paraId="71E63BC9" w14:textId="77777777" w:rsidR="00D73121" w:rsidRPr="0056055C" w:rsidRDefault="00000000">
      <w:pPr>
        <w:pStyle w:val="Heading1"/>
        <w:rPr>
          <w:rFonts w:ascii="Times New Roman" w:hAnsi="Times New Roman" w:cs="Times New Roman"/>
          <w:color w:val="000000" w:themeColor="text1"/>
        </w:rPr>
      </w:pPr>
      <w:r w:rsidRPr="0056055C">
        <w:rPr>
          <w:rFonts w:ascii="Times New Roman" w:hAnsi="Times New Roman" w:cs="Times New Roman"/>
          <w:color w:val="000000" w:themeColor="text1"/>
        </w:rPr>
        <w:lastRenderedPageBreak/>
        <w:t>11. Conclusion</w:t>
      </w:r>
    </w:p>
    <w:p w14:paraId="289076EC"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This strategic planning report establishes a data-driven framework for analyzing logistics delivery performance. The proposed project will use a public supply-chain dataset and Python to examine key measures such as on-time delivery, delivery time, delay rate, transportation cost, and shipment distance. Exploratory analysis will provide an understanding of operational patterns, while regression and clustering can support prediction and segmentation. Optimization will then be considered for resource allocation, route planning, and cost-related decisions.</w:t>
      </w:r>
    </w:p>
    <w:p w14:paraId="492EFA99"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The roadmap connects data collection, cleaning, preprocessing, exploration, visualization, predictive modeling, evaluation, and optimization into one continuous workflow. The expected result is a reusable analytical foundation that can be implemented progressively in the following internship tasks. Ultimately, the project is intended to demonstrate how logistics data can support more structured, evidence-based operational decision-making.</w:t>
      </w:r>
    </w:p>
    <w:p w14:paraId="2A50A8A2" w14:textId="77777777" w:rsidR="00D73121" w:rsidRPr="0056055C" w:rsidRDefault="00000000">
      <w:pPr>
        <w:pStyle w:val="Heading1"/>
        <w:rPr>
          <w:rFonts w:ascii="Times New Roman" w:hAnsi="Times New Roman" w:cs="Times New Roman"/>
          <w:color w:val="000000" w:themeColor="text1"/>
        </w:rPr>
      </w:pPr>
      <w:r w:rsidRPr="0056055C">
        <w:rPr>
          <w:rFonts w:ascii="Times New Roman" w:hAnsi="Times New Roman" w:cs="Times New Roman"/>
          <w:color w:val="000000" w:themeColor="text1"/>
        </w:rPr>
        <w:t>12. References</w:t>
      </w:r>
    </w:p>
    <w:p w14:paraId="73621BA6" w14:textId="77777777" w:rsidR="00D73121" w:rsidRPr="0056055C" w:rsidRDefault="00000000" w:rsidP="0056055C">
      <w:pPr>
        <w:pStyle w:val="ListNumber"/>
        <w:numPr>
          <w:ilvl w:val="0"/>
          <w:numId w:val="5"/>
        </w:num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Kaggle. DataCo Smart Supply Chain for Big Data Analysis. Public dataset documentation.</w:t>
      </w:r>
    </w:p>
    <w:p w14:paraId="15CBB67A" w14:textId="1884D5C4" w:rsidR="00D73121" w:rsidRPr="0056055C" w:rsidRDefault="00000000" w:rsidP="0056055C">
      <w:pPr>
        <w:pStyle w:val="ListNumber"/>
        <w:numPr>
          <w:ilvl w:val="0"/>
          <w:numId w:val="5"/>
        </w:num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World Bank. Connecting to Compete 2025: The New Logistics Performance Indicators 2.0. World Bank Group, 2026.</w:t>
      </w:r>
    </w:p>
    <w:p w14:paraId="432433DF" w14:textId="77777777" w:rsidR="00D73121" w:rsidRPr="0056055C" w:rsidRDefault="00000000" w:rsidP="0056055C">
      <w:pPr>
        <w:pStyle w:val="ListNumber"/>
        <w:numPr>
          <w:ilvl w:val="0"/>
          <w:numId w:val="5"/>
        </w:num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World Bank Data Catalog. Logistics Performance Index (LPI).</w:t>
      </w:r>
    </w:p>
    <w:p w14:paraId="5EE6CBC6" w14:textId="77777777" w:rsidR="00D73121" w:rsidRPr="0056055C" w:rsidRDefault="00000000" w:rsidP="0056055C">
      <w:pPr>
        <w:pStyle w:val="ListNumber"/>
        <w:numPr>
          <w:ilvl w:val="0"/>
          <w:numId w:val="5"/>
        </w:num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 xml:space="preserve">Pandas Documentation. </w:t>
      </w:r>
      <w:proofErr w:type="gramStart"/>
      <w:r w:rsidRPr="0056055C">
        <w:rPr>
          <w:rFonts w:ascii="Times New Roman" w:hAnsi="Times New Roman" w:cs="Times New Roman"/>
          <w:color w:val="000000" w:themeColor="text1"/>
          <w:sz w:val="28"/>
          <w:szCs w:val="28"/>
        </w:rPr>
        <w:t>pandas.read</w:t>
      </w:r>
      <w:proofErr w:type="gramEnd"/>
      <w:r w:rsidRPr="0056055C">
        <w:rPr>
          <w:rFonts w:ascii="Times New Roman" w:hAnsi="Times New Roman" w:cs="Times New Roman"/>
          <w:color w:val="000000" w:themeColor="text1"/>
          <w:sz w:val="28"/>
          <w:szCs w:val="28"/>
        </w:rPr>
        <w:t>_csv and DataFrame documentation.</w:t>
      </w:r>
    </w:p>
    <w:p w14:paraId="57245BFF" w14:textId="77777777" w:rsidR="00D73121" w:rsidRPr="0056055C" w:rsidRDefault="00D73121">
      <w:pPr>
        <w:rPr>
          <w:rFonts w:ascii="Times New Roman" w:hAnsi="Times New Roman" w:cs="Times New Roman"/>
          <w:color w:val="000000" w:themeColor="text1"/>
          <w:sz w:val="28"/>
          <w:szCs w:val="28"/>
        </w:rPr>
      </w:pPr>
    </w:p>
    <w:p w14:paraId="28EA2326"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Online sources:</w:t>
      </w:r>
    </w:p>
    <w:p w14:paraId="395336A8"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https://www.kaggle.com/shashwatwork/dataco-smart-supply-chain-for-big-data-analysis/kernels</w:t>
      </w:r>
    </w:p>
    <w:p w14:paraId="48649A4E"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https://documents.worldbank.org/en/publication/documents-reports/documentdetail/099042226142014971</w:t>
      </w:r>
    </w:p>
    <w:p w14:paraId="568082EB" w14:textId="77777777" w:rsidR="00D73121" w:rsidRPr="0056055C" w:rsidRDefault="00000000">
      <w:pPr>
        <w:rPr>
          <w:rFonts w:ascii="Times New Roman" w:hAnsi="Times New Roman" w:cs="Times New Roman"/>
          <w:color w:val="000000" w:themeColor="text1"/>
          <w:sz w:val="28"/>
          <w:szCs w:val="28"/>
        </w:rPr>
      </w:pPr>
      <w:r w:rsidRPr="0056055C">
        <w:rPr>
          <w:rFonts w:ascii="Times New Roman" w:hAnsi="Times New Roman" w:cs="Times New Roman"/>
          <w:color w:val="000000" w:themeColor="text1"/>
          <w:sz w:val="28"/>
          <w:szCs w:val="28"/>
        </w:rPr>
        <w:t>https://datacatalog.worldbank.org/search/dataset/0038649/logistics-performance-index</w:t>
      </w:r>
    </w:p>
    <w:p w14:paraId="1B2B5062" w14:textId="77777777" w:rsidR="00D73121" w:rsidRPr="0056055C" w:rsidRDefault="00000000">
      <w:pPr>
        <w:rPr>
          <w:sz w:val="28"/>
          <w:szCs w:val="28"/>
        </w:rPr>
      </w:pPr>
      <w:r w:rsidRPr="0056055C">
        <w:rPr>
          <w:rFonts w:ascii="Times New Roman" w:hAnsi="Times New Roman" w:cs="Times New Roman"/>
          <w:color w:val="000000" w:themeColor="text1"/>
          <w:sz w:val="28"/>
          <w:szCs w:val="28"/>
        </w:rPr>
        <w:t>https://pandas.pydata.org/pandas-docs/stable/ref</w:t>
      </w:r>
      <w:r w:rsidRPr="0056055C">
        <w:rPr>
          <w:rFonts w:ascii="Times New Roman" w:hAnsi="Times New Roman" w:cs="Times New Roman"/>
          <w:sz w:val="28"/>
          <w:szCs w:val="28"/>
        </w:rPr>
        <w:t>erence/api/pandas.read_csv.html</w:t>
      </w:r>
    </w:p>
    <w:sectPr w:rsidR="00D73121" w:rsidRPr="0056055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0090001"/>
    <w:lvl w:ilvl="0">
      <w:start w:val="1"/>
      <w:numFmt w:val="bullet"/>
      <w:lvlText w:val=""/>
      <w:lvlJc w:val="left"/>
      <w:pPr>
        <w:ind w:left="720" w:hanging="360"/>
      </w:pPr>
      <w:rPr>
        <w:rFonts w:ascii="Symbol" w:hAnsi="Symbol"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2547926">
    <w:abstractNumId w:val="8"/>
  </w:num>
  <w:num w:numId="2" w16cid:durableId="1520390774">
    <w:abstractNumId w:val="6"/>
  </w:num>
  <w:num w:numId="3" w16cid:durableId="988094619">
    <w:abstractNumId w:val="5"/>
  </w:num>
  <w:num w:numId="4" w16cid:durableId="1530724425">
    <w:abstractNumId w:val="4"/>
  </w:num>
  <w:num w:numId="5" w16cid:durableId="991711753">
    <w:abstractNumId w:val="7"/>
  </w:num>
  <w:num w:numId="6" w16cid:durableId="909122223">
    <w:abstractNumId w:val="3"/>
  </w:num>
  <w:num w:numId="7" w16cid:durableId="1589927967">
    <w:abstractNumId w:val="2"/>
  </w:num>
  <w:num w:numId="8" w16cid:durableId="163010936">
    <w:abstractNumId w:val="1"/>
  </w:num>
  <w:num w:numId="9" w16cid:durableId="825322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055C"/>
    <w:rsid w:val="008308CC"/>
    <w:rsid w:val="00AA1D8D"/>
    <w:rsid w:val="00B47730"/>
    <w:rsid w:val="00CB0664"/>
    <w:rsid w:val="00D731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CF0B2D"/>
  <w14:defaultImageDpi w14:val="300"/>
  <w15:docId w15:val="{36F2B671-22B3-41D3-823B-766EE398E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55C"/>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1996</Words>
  <Characters>11379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Manvi Shinde</cp:lastModifiedBy>
  <cp:revision>2</cp:revision>
  <dcterms:created xsi:type="dcterms:W3CDTF">2026-10-01T14:48:00Z</dcterms:created>
  <dcterms:modified xsi:type="dcterms:W3CDTF">2026-10-01T14:48:00Z</dcterms:modified>
  <cp:category/>
</cp:coreProperties>
</file>