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864"/>
          <w:sz w:val="52"/>
          <w:szCs w:val="52"/>
        </w:rPr>
        <w:t xml:space="preserve">Supply Chain Delivery Risk</w:t>
      </w:r>
    </w:p>
    <w:p>
      <w:pPr>
        <w:spacing w:after="300"/>
        <w:jc w:val="center"/>
      </w:pPr>
      <w:r>
        <w:rPr>
          <w:b/>
          <w:bCs/>
          <w:color w:val="2E7D6B"/>
          <w:sz w:val="52"/>
          <w:szCs w:val="52"/>
        </w:rPr>
        <w:t xml:space="preserve">&amp; Profitability Analysis</w:t>
      </w:r>
    </w:p>
    <w:p>
      <w:pPr>
        <w:spacing w:after="900"/>
        <w:jc w:val="center"/>
      </w:pPr>
      <w:r>
        <w:rPr>
          <w:i/>
          <w:iCs/>
          <w:color w:val="444444"/>
          <w:sz w:val="30"/>
          <w:szCs w:val="30"/>
        </w:rPr>
        <w:t xml:space="preserve">Project Report</w:t>
      </w:r>
    </w:p>
    <w:p>
      <w:pPr>
        <w:spacing w:after="80"/>
        <w:jc w:val="center"/>
      </w:pPr>
      <w:r>
        <w:rPr>
          <w:color w:val="444444"/>
          <w:sz w:val="22"/>
          <w:szCs w:val="22"/>
        </w:rPr>
        <w:t xml:space="preserve">Dataset: DataCo Supply Chain Dataset</w:t>
      </w:r>
    </w:p>
    <w:p>
      <w:pPr>
        <w:spacing w:after="80"/>
        <w:jc w:val="center"/>
      </w:pPr>
      <w:r>
        <w:rPr>
          <w:color w:val="444444"/>
          <w:sz w:val="22"/>
          <w:szCs w:val="22"/>
        </w:rPr>
        <w:t xml:space="preserve">Tools: Python · Pandas · Scikit-learn · SMOTE · Matplotlib / Seaborn</w:t>
      </w:r>
    </w:p>
    <w:p>
      <w:pPr>
        <w:spacing w:after="80"/>
        <w:jc w:val="center"/>
      </w:pPr>
      <w:r>
        <w:rPr>
          <w:color w:val="444444"/>
          <w:sz w:val="22"/>
          <w:szCs w:val="22"/>
        </w:rPr>
        <w:t xml:space="preserve">Date: July 2026</w:t>
      </w:r>
    </w:p>
    <w:p>
      <w:r>
        <w:br w:type="page"/>
      </w:r>
    </w:p>
    <w:p>
      <w:pPr>
        <w:pStyle w:val="Heading1"/>
        <w:pBdr>
          <w:bottom w:val="single" w:color="1F3864" w:sz="6" w:space="4"/>
        </w:pBdr>
        <w:spacing w:after="160" w:before="360"/>
      </w:pPr>
      <w:r>
        <w:rPr>
          <w:b/>
          <w:bCs/>
          <w:color w:val="1F3864"/>
          <w:sz w:val="30"/>
          <w:szCs w:val="30"/>
        </w:rPr>
        <w:t xml:space="preserve">1. Executive Summary</w:t>
      </w:r>
    </w:p>
    <w:p>
      <w:pPr>
        <w:spacing w:after="160" w:line="300"/>
      </w:pPr>
      <w:r>
        <w:rPr>
          <w:color w:val="444444"/>
          <w:sz w:val="22"/>
          <w:szCs w:val="22"/>
        </w:rPr>
        <w:t xml:space="preserve">This report presents an end-to-end analysis of the DataCo Supply Chain dataset, covering 172,765 completed orders across multiple regions, shipping modes, and product categories. The project analyzes delivery performance, uncovers profitability drivers, and builds a machine learning model to predict Late Delivery Risk.</w:t>
      </w:r>
    </w:p>
    <w:p>
      <w:pPr>
        <w:spacing w:after="160" w:line="300"/>
      </w:pPr>
      <w:r>
        <w:rPr>
          <w:color w:val="444444"/>
          <w:sz w:val="22"/>
          <w:szCs w:val="22"/>
        </w:rPr>
        <w:t xml:space="preserve">Key findings show that more than half of all orders (54.7%) are delivered late, generating a significant total loss of approximately $2.1M from delayed shipments, even though the overall business remains profitable (80.7% of orders are profitable). A Random Forest Classifier, trained on frequency-encoded shipping and order features and balanced using SMOTE, achieved 74% accuracy and 79% precision in predicting late delivery risk, providing a practical foundation for proactive delay management.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3864" w:val="clear"/>
          </w:tcPr>
          <w:p>
            <w:r>
              <w:rPr>
                <w:b/>
                <w:bCs/>
                <w:color w:val="FFFFFF"/>
                <w:sz w:val="22"/>
                <w:szCs w:val="22"/>
              </w:rPr>
              <w:t xml:space="preserve">KPI</w:t>
            </w:r>
          </w:p>
        </w:tc>
        <w:tc>
          <w:tcPr>
            <w:tcW w:type="dxa" w:w="4500"/>
            <w:shd w:fill="1F3864" w:val="clear"/>
          </w:tcPr>
          <w:p>
            <w:r>
              <w:rPr>
                <w:b/>
                <w:bCs/>
                <w:color w:val="FFFFFF"/>
                <w:sz w:val="22"/>
                <w:szCs w:val="22"/>
              </w:rPr>
              <w:t xml:space="preserve">Value</w:t>
            </w:r>
          </w:p>
        </w:tc>
      </w:tr>
      <w:tr>
        <w:tc>
          <w:tcPr>
            <w:tcW w:type="dxa" w:w="4500"/>
            <w:shd w:fill="FFFFFF" w:val="clear"/>
          </w:tcPr>
          <w:p>
            <w:r>
              <w:rPr>
                <w:color w:val="444444"/>
                <w:sz w:val="22"/>
                <w:szCs w:val="22"/>
              </w:rPr>
              <w:t xml:space="preserve">Total Orders Analyzed</w:t>
            </w:r>
          </w:p>
        </w:tc>
        <w:tc>
          <w:tcPr>
            <w:tcW w:type="dxa" w:w="4500"/>
            <w:shd w:fill="FFFFFF" w:val="clear"/>
          </w:tcPr>
          <w:p>
            <w:r>
              <w:rPr>
                <w:b/>
                <w:bCs/>
                <w:color w:val="1F3864"/>
                <w:sz w:val="22"/>
                <w:szCs w:val="22"/>
              </w:rPr>
              <w:t xml:space="preserve">172,765</w:t>
            </w:r>
          </w:p>
        </w:tc>
      </w:tr>
      <w:tr>
        <w:tc>
          <w:tcPr>
            <w:tcW w:type="dxa" w:w="4500"/>
            <w:shd w:fill="F2F2F2" w:val="clear"/>
          </w:tcPr>
          <w:p>
            <w:r>
              <w:rPr>
                <w:color w:val="444444"/>
                <w:sz w:val="22"/>
                <w:szCs w:val="22"/>
              </w:rPr>
              <w:t xml:space="preserve">Late Deliveries</w:t>
            </w:r>
          </w:p>
        </w:tc>
        <w:tc>
          <w:tcPr>
            <w:tcW w:type="dxa" w:w="4500"/>
            <w:shd w:fill="F2F2F2" w:val="clear"/>
          </w:tcPr>
          <w:p>
            <w:r>
              <w:rPr>
                <w:b/>
                <w:bCs/>
                <w:color w:val="1F3864"/>
                <w:sz w:val="22"/>
                <w:szCs w:val="22"/>
              </w:rPr>
              <w:t xml:space="preserve">94,523 (54.71%)</w:t>
            </w:r>
          </w:p>
        </w:tc>
      </w:tr>
      <w:tr>
        <w:tc>
          <w:tcPr>
            <w:tcW w:type="dxa" w:w="4500"/>
            <w:shd w:fill="FFFFFF" w:val="clear"/>
          </w:tcPr>
          <w:p>
            <w:r>
              <w:rPr>
                <w:color w:val="444444"/>
                <w:sz w:val="22"/>
                <w:szCs w:val="22"/>
              </w:rPr>
              <w:t xml:space="preserve">On-time Deliveries</w:t>
            </w:r>
          </w:p>
        </w:tc>
        <w:tc>
          <w:tcPr>
            <w:tcW w:type="dxa" w:w="4500"/>
            <w:shd w:fill="FFFFFF" w:val="clear"/>
          </w:tcPr>
          <w:p>
            <w:r>
              <w:rPr>
                <w:b/>
                <w:bCs/>
                <w:color w:val="1F3864"/>
                <w:sz w:val="22"/>
                <w:szCs w:val="22"/>
              </w:rPr>
              <w:t xml:space="preserve">45.29%</w:t>
            </w:r>
          </w:p>
        </w:tc>
      </w:tr>
      <w:tr>
        <w:tc>
          <w:tcPr>
            <w:tcW w:type="dxa" w:w="4500"/>
            <w:shd w:fill="F2F2F2" w:val="clear"/>
          </w:tcPr>
          <w:p>
            <w:r>
              <w:rPr>
                <w:color w:val="444444"/>
                <w:sz w:val="22"/>
                <w:szCs w:val="22"/>
              </w:rPr>
              <w:t xml:space="preserve">Total Profit (positive orders)</w:t>
            </w:r>
          </w:p>
        </w:tc>
        <w:tc>
          <w:tcPr>
            <w:tcW w:type="dxa" w:w="4500"/>
            <w:shd w:fill="F2F2F2" w:val="clear"/>
          </w:tcPr>
          <w:p>
            <w:r>
              <w:rPr>
                <w:b/>
                <w:bCs/>
                <w:color w:val="1F3864"/>
                <w:sz w:val="22"/>
                <w:szCs w:val="22"/>
              </w:rPr>
              <w:t xml:space="preserve">≈ $7.5M</w:t>
            </w:r>
          </w:p>
        </w:tc>
      </w:tr>
      <w:tr>
        <w:tc>
          <w:tcPr>
            <w:tcW w:type="dxa" w:w="4500"/>
            <w:shd w:fill="FFFFFF" w:val="clear"/>
          </w:tcPr>
          <w:p>
            <w:r>
              <w:rPr>
                <w:color w:val="444444"/>
                <w:sz w:val="22"/>
                <w:szCs w:val="22"/>
              </w:rPr>
              <w:t xml:space="preserve">Total Loss due to Delays</w:t>
            </w:r>
          </w:p>
        </w:tc>
        <w:tc>
          <w:tcPr>
            <w:tcW w:type="dxa" w:w="4500"/>
            <w:shd w:fill="FFFFFF" w:val="clear"/>
          </w:tcPr>
          <w:p>
            <w:r>
              <w:rPr>
                <w:b/>
                <w:bCs/>
                <w:color w:val="1F3864"/>
                <w:sz w:val="22"/>
                <w:szCs w:val="22"/>
              </w:rPr>
              <w:t xml:space="preserve">≈ $2.1M</w:t>
            </w:r>
          </w:p>
        </w:tc>
      </w:tr>
      <w:tr>
        <w:tc>
          <w:tcPr>
            <w:tcW w:type="dxa" w:w="4500"/>
            <w:shd w:fill="F2F2F2" w:val="clear"/>
          </w:tcPr>
          <w:p>
            <w:r>
              <w:rPr>
                <w:color w:val="444444"/>
                <w:sz w:val="22"/>
                <w:szCs w:val="22"/>
              </w:rPr>
              <w:t xml:space="preserve">Model Accuracy (Random Forest)</w:t>
            </w:r>
          </w:p>
        </w:tc>
        <w:tc>
          <w:tcPr>
            <w:tcW w:type="dxa" w:w="4500"/>
            <w:shd w:fill="F2F2F2" w:val="clear"/>
          </w:tcPr>
          <w:p>
            <w:r>
              <w:rPr>
                <w:b/>
                <w:bCs/>
                <w:color w:val="1F3864"/>
                <w:sz w:val="22"/>
                <w:szCs w:val="22"/>
              </w:rPr>
              <w:t xml:space="preserve">0.74</w:t>
            </w:r>
          </w:p>
        </w:tc>
      </w:tr>
      <w:tr>
        <w:tc>
          <w:tcPr>
            <w:tcW w:type="dxa" w:w="4500"/>
            <w:shd w:fill="FFFFFF" w:val="clear"/>
          </w:tcPr>
          <w:p>
            <w:r>
              <w:rPr>
                <w:color w:val="444444"/>
                <w:sz w:val="22"/>
                <w:szCs w:val="22"/>
              </w:rPr>
              <w:t xml:space="preserve">Model Precision</w:t>
            </w:r>
          </w:p>
        </w:tc>
        <w:tc>
          <w:tcPr>
            <w:tcW w:type="dxa" w:w="4500"/>
            <w:shd w:fill="FFFFFF" w:val="clear"/>
          </w:tcPr>
          <w:p>
            <w:r>
              <w:rPr>
                <w:b/>
                <w:bCs/>
                <w:color w:val="1F3864"/>
                <w:sz w:val="22"/>
                <w:szCs w:val="22"/>
              </w:rPr>
              <w:t xml:space="preserve">0.79</w:t>
            </w:r>
          </w:p>
        </w:tc>
      </w:tr>
    </w:tbl>
    <w:p>
      <w:pPr>
        <w:pStyle w:val="Heading1"/>
        <w:pBdr>
          <w:bottom w:val="single" w:color="1F3864" w:sz="6" w:space="4"/>
        </w:pBdr>
        <w:spacing w:after="160" w:before="360"/>
      </w:pPr>
      <w:r>
        <w:rPr>
          <w:b/>
          <w:bCs/>
          <w:color w:val="1F3864"/>
          <w:sz w:val="30"/>
          <w:szCs w:val="30"/>
        </w:rPr>
        <w:t xml:space="preserve">2. Business Problem</w:t>
      </w:r>
    </w:p>
    <w:p>
      <w:pPr>
        <w:spacing w:after="160" w:line="300"/>
      </w:pPr>
      <w:r>
        <w:rPr>
          <w:color w:val="444444"/>
          <w:sz w:val="22"/>
          <w:szCs w:val="22"/>
        </w:rPr>
        <w:t xml:space="preserve">A global e-commerce company operating across multiple regions manages end-to-end order fulfillment, including shipping and delivery, for products such as sporting goods. The company is facing inconsistent delivery performance, where actual shipping times often deviate from scheduled timelines, leading to late deliveries and unpredictable order profitability.</w:t>
      </w:r>
    </w:p>
    <w:p>
      <w:pPr>
        <w:spacing w:after="160" w:line="300"/>
      </w:pPr>
      <w:r>
        <w:rPr>
          <w:color w:val="444444"/>
          <w:sz w:val="22"/>
          <w:szCs w:val="22"/>
        </w:rPr>
        <w:t xml:space="preserve">The desired outcome is to analyze delivery operations, identify bottlenecks, and build a predictive system to reduce delay, optimize shipping decisions, and improve overall profitability and efficiency.</w:t>
      </w:r>
    </w:p>
    <w:p>
      <w:pPr>
        <w:pStyle w:val="Heading1"/>
        <w:pBdr>
          <w:bottom w:val="single" w:color="1F3864" w:sz="6" w:space="4"/>
        </w:pBdr>
        <w:spacing w:after="160" w:before="360"/>
      </w:pPr>
      <w:r>
        <w:rPr>
          <w:b/>
          <w:bCs/>
          <w:color w:val="1F3864"/>
          <w:sz w:val="30"/>
          <w:szCs w:val="30"/>
        </w:rPr>
        <w:t xml:space="preserve">3. Objectives</w:t>
      </w:r>
    </w:p>
    <w:p>
      <w:pPr>
        <w:pStyle w:val="ListParagraph"/>
        <w:numPr>
          <w:ilvl w:val="0"/>
          <w:numId w:val="2"/>
        </w:numPr>
        <w:spacing w:after="80"/>
      </w:pPr>
      <w:r>
        <w:rPr>
          <w:color w:val="444444"/>
          <w:sz w:val="22"/>
          <w:szCs w:val="22"/>
        </w:rPr>
        <w:t xml:space="preserve">Analyze delivery operations across regions, shipping modes, and time periods.</w:t>
      </w:r>
    </w:p>
    <w:p>
      <w:pPr>
        <w:pStyle w:val="ListParagraph"/>
        <w:numPr>
          <w:ilvl w:val="0"/>
          <w:numId w:val="2"/>
        </w:numPr>
        <w:spacing w:after="80"/>
      </w:pPr>
      <w:r>
        <w:rPr>
          <w:color w:val="444444"/>
          <w:sz w:val="22"/>
          <w:szCs w:val="22"/>
        </w:rPr>
        <w:t xml:space="preserve">Identify bottlenecks contributing to late deliveries.</w:t>
      </w:r>
    </w:p>
    <w:p>
      <w:pPr>
        <w:pStyle w:val="ListParagraph"/>
        <w:numPr>
          <w:ilvl w:val="0"/>
          <w:numId w:val="2"/>
        </w:numPr>
        <w:spacing w:after="80"/>
      </w:pPr>
      <w:r>
        <w:rPr>
          <w:color w:val="444444"/>
          <w:sz w:val="22"/>
          <w:szCs w:val="22"/>
        </w:rPr>
        <w:t xml:space="preserve">Study the relationship between delivery delay and order profitability.</w:t>
      </w:r>
    </w:p>
    <w:p>
      <w:pPr>
        <w:pStyle w:val="ListParagraph"/>
        <w:numPr>
          <w:ilvl w:val="0"/>
          <w:numId w:val="2"/>
        </w:numPr>
        <w:spacing w:after="80"/>
      </w:pPr>
      <w:r>
        <w:rPr>
          <w:color w:val="444444"/>
          <w:sz w:val="22"/>
          <w:szCs w:val="22"/>
        </w:rPr>
        <w:t xml:space="preserve">Build a machine learning model to predict Late Delivery Risk for incoming orders.</w:t>
      </w:r>
    </w:p>
    <w:p>
      <w:pPr>
        <w:pStyle w:val="Heading1"/>
        <w:pBdr>
          <w:bottom w:val="single" w:color="1F3864" w:sz="6" w:space="4"/>
        </w:pBdr>
        <w:spacing w:after="160" w:before="360"/>
      </w:pPr>
      <w:r>
        <w:rPr>
          <w:b/>
          <w:bCs/>
          <w:color w:val="1F3864"/>
          <w:sz w:val="30"/>
          <w:szCs w:val="30"/>
        </w:rPr>
        <w:t xml:space="preserve">4. Dataset Overview</w:t>
      </w:r>
    </w:p>
    <w:p>
      <w:pPr>
        <w:spacing w:after="160" w:line="300"/>
      </w:pPr>
      <w:r>
        <w:rPr>
          <w:color w:val="444444"/>
          <w:sz w:val="22"/>
          <w:szCs w:val="22"/>
        </w:rPr>
        <w:t xml:space="preserve">The analysis uses the DataCo Supply Chain Dataset, a real-world e-commerce dataset containing order, shipping, customer, product, and profitability information. After cleaning, the working dataset contains 172,765 rows and 21 columns.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rPr>
          <w:tblHeader/>
        </w:trPr>
        <w:tc>
          <w:tcPr>
            <w:tcW w:type="dxa" w:w="3000"/>
            <w:shd w:fill="1F3864" w:val="clear"/>
          </w:tcPr>
          <w:p>
            <w:r>
              <w:rPr>
                <w:b/>
                <w:bCs/>
                <w:color w:val="FFFFFF"/>
                <w:sz w:val="20"/>
                <w:szCs w:val="20"/>
              </w:rPr>
              <w:t xml:space="preserve">Attribute Group</w:t>
            </w:r>
          </w:p>
        </w:tc>
        <w:tc>
          <w:tcPr>
            <w:tcW w:type="dxa" w:w="6300"/>
            <w:shd w:fill="1F3864" w:val="clear"/>
          </w:tcPr>
          <w:p>
            <w:r>
              <w:rPr>
                <w:b/>
                <w:bCs/>
                <w:color w:val="FFFFFF"/>
                <w:sz w:val="20"/>
                <w:szCs w:val="20"/>
              </w:rPr>
              <w:t xml:space="preserve">Example Columns</w:t>
            </w:r>
          </w:p>
        </w:tc>
      </w:tr>
      <w:tr>
        <w:tc>
          <w:tcPr>
            <w:tcW w:type="dxa" w:w="3000"/>
            <w:shd w:fill="FFFFFF" w:val="clear"/>
          </w:tcPr>
          <w:p>
            <w:r>
              <w:rPr>
                <w:color w:val="444444"/>
                <w:sz w:val="20"/>
                <w:szCs w:val="20"/>
              </w:rPr>
              <w:t xml:space="preserve">Order Details</w:t>
            </w:r>
          </w:p>
        </w:tc>
        <w:tc>
          <w:tcPr>
            <w:tcW w:type="dxa" w:w="6300"/>
            <w:shd w:fill="FFFFFF" w:val="clear"/>
          </w:tcPr>
          <w:p>
            <w:r>
              <w:rPr>
                <w:color w:val="444444"/>
                <w:sz w:val="20"/>
                <w:szCs w:val="20"/>
              </w:rPr>
              <w:t xml:space="preserve">Type, Order Status, Order Region, Days for shipment (scheduled/real)</w:t>
            </w:r>
          </w:p>
        </w:tc>
      </w:tr>
      <w:tr>
        <w:tc>
          <w:tcPr>
            <w:tcW w:type="dxa" w:w="3000"/>
            <w:shd w:fill="F2F2F2" w:val="clear"/>
          </w:tcPr>
          <w:p>
            <w:r>
              <w:rPr>
                <w:color w:val="444444"/>
                <w:sz w:val="20"/>
                <w:szCs w:val="20"/>
              </w:rPr>
              <w:t xml:space="preserve">Delivery Info</w:t>
            </w:r>
          </w:p>
        </w:tc>
        <w:tc>
          <w:tcPr>
            <w:tcW w:type="dxa" w:w="6300"/>
            <w:shd w:fill="F2F2F2" w:val="clear"/>
          </w:tcPr>
          <w:p>
            <w:r>
              <w:rPr>
                <w:color w:val="444444"/>
                <w:sz w:val="20"/>
                <w:szCs w:val="20"/>
              </w:rPr>
              <w:t xml:space="preserve">Delivery Status, Late_delivery_risk, Shipping Mode</w:t>
            </w:r>
          </w:p>
        </w:tc>
      </w:tr>
      <w:tr>
        <w:tc>
          <w:tcPr>
            <w:tcW w:type="dxa" w:w="3000"/>
            <w:shd w:fill="FFFFFF" w:val="clear"/>
          </w:tcPr>
          <w:p>
            <w:r>
              <w:rPr>
                <w:color w:val="444444"/>
                <w:sz w:val="20"/>
                <w:szCs w:val="20"/>
              </w:rPr>
              <w:t xml:space="preserve">Customer Info</w:t>
            </w:r>
          </w:p>
        </w:tc>
        <w:tc>
          <w:tcPr>
            <w:tcW w:type="dxa" w:w="6300"/>
            <w:shd w:fill="FFFFFF" w:val="clear"/>
          </w:tcPr>
          <w:p>
            <w:r>
              <w:rPr>
                <w:color w:val="444444"/>
                <w:sz w:val="20"/>
                <w:szCs w:val="20"/>
              </w:rPr>
              <w:t xml:space="preserve">Customer Segment, Customer Country</w:t>
            </w:r>
          </w:p>
        </w:tc>
      </w:tr>
      <w:tr>
        <w:tc>
          <w:tcPr>
            <w:tcW w:type="dxa" w:w="3000"/>
            <w:shd w:fill="F2F2F2" w:val="clear"/>
          </w:tcPr>
          <w:p>
            <w:r>
              <w:rPr>
                <w:color w:val="444444"/>
                <w:sz w:val="20"/>
                <w:szCs w:val="20"/>
              </w:rPr>
              <w:t xml:space="preserve">Product Info</w:t>
            </w:r>
          </w:p>
        </w:tc>
        <w:tc>
          <w:tcPr>
            <w:tcW w:type="dxa" w:w="6300"/>
            <w:shd w:fill="F2F2F2" w:val="clear"/>
          </w:tcPr>
          <w:p>
            <w:r>
              <w:rPr>
                <w:color w:val="444444"/>
                <w:sz w:val="20"/>
                <w:szCs w:val="20"/>
              </w:rPr>
              <w:t xml:space="preserve">Category Name, Department Name, Product Name, Product Price</w:t>
            </w:r>
          </w:p>
        </w:tc>
      </w:tr>
      <w:tr>
        <w:tc>
          <w:tcPr>
            <w:tcW w:type="dxa" w:w="3000"/>
            <w:shd w:fill="FFFFFF" w:val="clear"/>
          </w:tcPr>
          <w:p>
            <w:r>
              <w:rPr>
                <w:color w:val="444444"/>
                <w:sz w:val="20"/>
                <w:szCs w:val="20"/>
              </w:rPr>
              <w:t xml:space="preserve">Financials</w:t>
            </w:r>
          </w:p>
        </w:tc>
        <w:tc>
          <w:tcPr>
            <w:tcW w:type="dxa" w:w="6300"/>
            <w:shd w:fill="FFFFFF" w:val="clear"/>
          </w:tcPr>
          <w:p>
            <w:r>
              <w:rPr>
                <w:color w:val="444444"/>
                <w:sz w:val="20"/>
                <w:szCs w:val="20"/>
              </w:rPr>
              <w:t xml:space="preserve">Sales, Order Profit Per Order, Order Item Discount, Order Item Profit Ratio</w:t>
            </w:r>
          </w:p>
        </w:tc>
      </w:tr>
      <w:tr>
        <w:tc>
          <w:tcPr>
            <w:tcW w:type="dxa" w:w="3000"/>
            <w:shd w:fill="F2F2F2" w:val="clear"/>
          </w:tcPr>
          <w:p>
            <w:r>
              <w:rPr>
                <w:color w:val="444444"/>
                <w:sz w:val="20"/>
                <w:szCs w:val="20"/>
              </w:rPr>
              <w:t xml:space="preserve">Dates</w:t>
            </w:r>
          </w:p>
        </w:tc>
        <w:tc>
          <w:tcPr>
            <w:tcW w:type="dxa" w:w="6300"/>
            <w:shd w:fill="F2F2F2" w:val="clear"/>
          </w:tcPr>
          <w:p>
            <w:r>
              <w:rPr>
                <w:color w:val="444444"/>
                <w:sz w:val="20"/>
                <w:szCs w:val="20"/>
              </w:rPr>
              <w:t xml:space="preserve">order date (DateOrders), shipping date (DateOrders)</w:t>
            </w:r>
          </w:p>
        </w:tc>
      </w:tr>
    </w:tbl>
    <w:p>
      <w:pPr>
        <w:spacing w:after="160" w:line="300"/>
      </w:pPr>
      <w:r>
        <w:rPr>
          <w:color w:val="444444"/>
          <w:sz w:val="22"/>
          <w:szCs w:val="22"/>
        </w:rPr>
        <w:t xml:space="preserve">Distribution highlights from the raw data:</w:t>
      </w:r>
    </w:p>
    <w:p>
      <w:pPr>
        <w:pStyle w:val="ListParagraph"/>
        <w:numPr>
          <w:ilvl w:val="0"/>
          <w:numId w:val="2"/>
        </w:numPr>
        <w:spacing w:after="80"/>
      </w:pPr>
      <w:r>
        <w:rPr>
          <w:color w:val="444444"/>
          <w:sz w:val="22"/>
          <w:szCs w:val="22"/>
        </w:rPr>
        <w:t xml:space="preserve">Delivery Status: Late delivery (98,977), Advance shipping (41,592), Shipping on time (32,196).</w:t>
      </w:r>
    </w:p>
    <w:p>
      <w:pPr>
        <w:pStyle w:val="ListParagraph"/>
        <w:numPr>
          <w:ilvl w:val="0"/>
          <w:numId w:val="2"/>
        </w:numPr>
        <w:spacing w:after="80"/>
      </w:pPr>
      <w:r>
        <w:rPr>
          <w:color w:val="444444"/>
          <w:sz w:val="22"/>
          <w:szCs w:val="22"/>
        </w:rPr>
        <w:t xml:space="preserve">Shipping Mode: Standard Class (103,153), Second Class (33,806), First Class (26,513), Same Day (9,293).</w:t>
      </w:r>
    </w:p>
    <w:p>
      <w:pPr>
        <w:pStyle w:val="ListParagraph"/>
        <w:numPr>
          <w:ilvl w:val="0"/>
          <w:numId w:val="2"/>
        </w:numPr>
        <w:spacing w:after="80"/>
      </w:pPr>
      <w:r>
        <w:rPr>
          <w:color w:val="444444"/>
          <w:sz w:val="22"/>
          <w:szCs w:val="22"/>
        </w:rPr>
        <w:t xml:space="preserve">Customer Segment: Consumer (89,420), Corporate (52,528), Home Office (30,817).</w:t>
      </w:r>
    </w:p>
    <w:p>
      <w:pPr>
        <w:pStyle w:val="ListParagraph"/>
        <w:numPr>
          <w:ilvl w:val="0"/>
          <w:numId w:val="2"/>
        </w:numPr>
        <w:spacing w:after="80"/>
      </w:pPr>
      <w:r>
        <w:rPr>
          <w:color w:val="444444"/>
          <w:sz w:val="22"/>
          <w:szCs w:val="22"/>
        </w:rPr>
        <w:t xml:space="preserve">Customer Country: EE. UU. / USA (106,425), Puerto Rico (66,340).</w:t>
      </w:r>
    </w:p>
    <w:p>
      <w:pPr>
        <w:pStyle w:val="Heading1"/>
        <w:pBdr>
          <w:bottom w:val="single" w:color="1F3864" w:sz="6" w:space="4"/>
        </w:pBdr>
        <w:spacing w:after="160" w:before="360"/>
      </w:pPr>
      <w:r>
        <w:rPr>
          <w:b/>
          <w:bCs/>
          <w:color w:val="1F3864"/>
          <w:sz w:val="30"/>
          <w:szCs w:val="30"/>
        </w:rPr>
        <w:t xml:space="preserve">5. Data Cleaning &amp; Preprocessing</w:t>
      </w:r>
    </w:p>
    <w:p>
      <w:pPr>
        <w:spacing w:after="160" w:line="300"/>
      </w:pPr>
      <w:r>
        <w:rPr>
          <w:color w:val="444444"/>
          <w:sz w:val="22"/>
          <w:szCs w:val="22"/>
        </w:rPr>
        <w:t xml:space="preserve">Before analysis, the raw dataset was cleaned and prepared as follows:</w:t>
      </w:r>
    </w:p>
    <w:p>
      <w:pPr>
        <w:pStyle w:val="ListParagraph"/>
        <w:numPr>
          <w:ilvl w:val="0"/>
          <w:numId w:val="2"/>
        </w:numPr>
        <w:spacing w:after="80"/>
      </w:pPr>
      <w:r>
        <w:rPr>
          <w:color w:val="444444"/>
          <w:sz w:val="22"/>
          <w:szCs w:val="22"/>
        </w:rPr>
        <w:t xml:space="preserve">Removed irrelevant, redundant, or zero-variance columns (e.g., Customer Email, Customer Password, Product Image, Latitude/Longitude, IDs, and columns with only one unique value).</w:t>
      </w:r>
    </w:p>
    <w:p>
      <w:pPr>
        <w:pStyle w:val="ListParagraph"/>
        <w:numPr>
          <w:ilvl w:val="0"/>
          <w:numId w:val="2"/>
        </w:numPr>
        <w:spacing w:after="80"/>
      </w:pPr>
      <w:r>
        <w:rPr>
          <w:color w:val="444444"/>
          <w:sz w:val="22"/>
          <w:szCs w:val="22"/>
        </w:rPr>
        <w:t xml:space="preserve">Filtered out cancelled orders (Delivery Status = 'Shipping canceled') since they do not reflect real delivery time or profitability patterns.</w:t>
      </w:r>
    </w:p>
    <w:p>
      <w:pPr>
        <w:pStyle w:val="ListParagraph"/>
        <w:numPr>
          <w:ilvl w:val="0"/>
          <w:numId w:val="2"/>
        </w:numPr>
        <w:spacing w:after="80"/>
      </w:pPr>
      <w:r>
        <w:rPr>
          <w:color w:val="444444"/>
          <w:sz w:val="22"/>
          <w:szCs w:val="22"/>
        </w:rPr>
        <w:t xml:space="preserve">Converted 'order date' and 'shipping date' columns to proper datetime format for time-based calculations.</w:t>
      </w:r>
    </w:p>
    <w:p>
      <w:pPr>
        <w:pStyle w:val="ListParagraph"/>
        <w:numPr>
          <w:ilvl w:val="0"/>
          <w:numId w:val="2"/>
        </w:numPr>
        <w:spacing w:after="80"/>
      </w:pPr>
      <w:r>
        <w:rPr>
          <w:color w:val="444444"/>
          <w:sz w:val="22"/>
          <w:szCs w:val="22"/>
        </w:rPr>
        <w:t xml:space="preserve">Verified data quality post-cleaning — the resulting dataset had zero missing values across the top fields checked, with a final shape of 172,765 rows × 21 columns.</w:t>
      </w:r>
    </w:p>
    <w:p>
      <w:pPr>
        <w:pStyle w:val="ListParagraph"/>
        <w:numPr>
          <w:ilvl w:val="0"/>
          <w:numId w:val="2"/>
        </w:numPr>
        <w:spacing w:after="80"/>
      </w:pPr>
      <w:r>
        <w:rPr>
          <w:color w:val="444444"/>
          <w:sz w:val="22"/>
          <w:szCs w:val="22"/>
        </w:rPr>
        <w:t xml:space="preserve">Engineered delay-related features (detailed in Section 7) to support both EDA and modeling.</w:t>
      </w:r>
    </w:p>
    <w:p>
      <w:pPr>
        <w:pStyle w:val="Heading1"/>
        <w:pBdr>
          <w:bottom w:val="single" w:color="1F3864" w:sz="6" w:space="4"/>
        </w:pBdr>
        <w:spacing w:after="160" w:before="360"/>
      </w:pPr>
      <w:r>
        <w:rPr>
          <w:b/>
          <w:bCs/>
          <w:color w:val="1F3864"/>
          <w:sz w:val="30"/>
          <w:szCs w:val="30"/>
        </w:rPr>
        <w:t xml:space="preserve">6. Exploratory Data Analysis</w:t>
      </w:r>
    </w:p>
    <w:p>
      <w:pPr>
        <w:spacing w:after="160" w:line="300"/>
      </w:pPr>
      <w:r>
        <w:rPr>
          <w:color w:val="444444"/>
          <w:sz w:val="22"/>
          <w:szCs w:val="22"/>
        </w:rPr>
        <w:t xml:space="preserve">Exploratory analysis focused on understanding delivery performance, profitability distribution, and how delay length affects business outcomes.</w:t>
      </w:r>
    </w:p>
    <w:p>
      <w:pPr>
        <w:pStyle w:val="Heading2"/>
        <w:spacing w:after="120" w:before="260"/>
      </w:pPr>
      <w:r>
        <w:rPr>
          <w:b/>
          <w:bCs/>
          <w:color w:val="2E7D6B"/>
          <w:sz w:val="24"/>
          <w:szCs w:val="24"/>
        </w:rPr>
        <w:t xml:space="preserve">6.1 Profitability Distribution</w:t>
      </w:r>
    </w:p>
    <w:p>
      <w:pPr>
        <w:spacing w:after="160" w:line="300"/>
      </w:pPr>
      <w:r>
        <w:rPr>
          <w:color w:val="444444"/>
          <w:sz w:val="22"/>
          <w:szCs w:val="22"/>
        </w:rPr>
        <w:t xml:space="preserve">Orders were classified into Profit, Loss, or Break-even categories based on 'Order Profit Per Order'. The overwhelming majority of orders (80.7%) are profitable, while a notable 18.7% result in a loss — highlighting that profitability issues are concentrated in a meaningful subset of orders rather than being widespread.</w:t>
      </w:r>
    </w:p>
    <w:p>
      <w:pPr>
        <w:spacing w:after="60" w:before="160"/>
        <w:jc w:val="center"/>
      </w:pPr>
      <w:r>
        <w:drawing>
          <wp:inline distT="0" distB="0" distL="0" distR="0">
            <wp:extent cx="3810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3810000"/>
                    </a:xfrm>
                    <a:prstGeom prst="rect">
                      <a:avLst/>
                    </a:prstGeom>
                  </pic:spPr>
                </pic:pic>
              </a:graphicData>
            </a:graphic>
          </wp:inline>
        </w:drawing>
      </w:r>
    </w:p>
    <w:p>
      <w:pPr>
        <w:spacing w:after="260" w:before="100"/>
        <w:jc w:val="center"/>
      </w:pPr>
      <w:r>
        <w:rPr>
          <w:i/>
          <w:iCs/>
          <w:color w:val="666666"/>
          <w:sz w:val="20"/>
          <w:szCs w:val="20"/>
        </w:rPr>
        <w:t xml:space="preserve">Figure 1: Profitability Distribution of Orders (Profit vs. Loss vs. Break-even)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tcW w:type="dxa" w:w="4650"/>
            <w:shd w:fill="1F3864" w:val="clear"/>
          </w:tcPr>
          <w:p>
            <w:r>
              <w:rPr>
                <w:b/>
                <w:bCs/>
                <w:color w:val="FFFFFF"/>
                <w:sz w:val="20"/>
                <w:szCs w:val="20"/>
              </w:rPr>
              <w:t xml:space="preserve">Profitability Flag</w:t>
            </w:r>
          </w:p>
        </w:tc>
        <w:tc>
          <w:tcPr>
            <w:tcW w:type="dxa" w:w="4650"/>
            <w:shd w:fill="1F3864" w:val="clear"/>
          </w:tcPr>
          <w:p>
            <w:r>
              <w:rPr>
                <w:b/>
                <w:bCs/>
                <w:color w:val="FFFFFF"/>
                <w:sz w:val="20"/>
                <w:szCs w:val="20"/>
              </w:rPr>
              <w:t xml:space="preserve">Order Count</w:t>
            </w:r>
          </w:p>
        </w:tc>
      </w:tr>
      <w:tr>
        <w:tc>
          <w:tcPr>
            <w:tcW w:type="dxa" w:w="4650"/>
            <w:shd w:fill="FFFFFF" w:val="clear"/>
          </w:tcPr>
          <w:p>
            <w:r>
              <w:rPr>
                <w:color w:val="444444"/>
                <w:sz w:val="20"/>
                <w:szCs w:val="20"/>
              </w:rPr>
              <w:t xml:space="preserve">Profit</w:t>
            </w:r>
          </w:p>
        </w:tc>
        <w:tc>
          <w:tcPr>
            <w:tcW w:type="dxa" w:w="4650"/>
            <w:shd w:fill="FFFFFF" w:val="clear"/>
          </w:tcPr>
          <w:p>
            <w:r>
              <w:rPr>
                <w:color w:val="444444"/>
                <w:sz w:val="20"/>
                <w:szCs w:val="20"/>
              </w:rPr>
              <w:t xml:space="preserve">139,354</w:t>
            </w:r>
          </w:p>
        </w:tc>
      </w:tr>
      <w:tr>
        <w:tc>
          <w:tcPr>
            <w:tcW w:type="dxa" w:w="4650"/>
            <w:shd w:fill="F2F2F2" w:val="clear"/>
          </w:tcPr>
          <w:p>
            <w:r>
              <w:rPr>
                <w:color w:val="444444"/>
                <w:sz w:val="20"/>
                <w:szCs w:val="20"/>
              </w:rPr>
              <w:t xml:space="preserve">Loss</w:t>
            </w:r>
          </w:p>
        </w:tc>
        <w:tc>
          <w:tcPr>
            <w:tcW w:type="dxa" w:w="4650"/>
            <w:shd w:fill="F2F2F2" w:val="clear"/>
          </w:tcPr>
          <w:p>
            <w:r>
              <w:rPr>
                <w:color w:val="444444"/>
                <w:sz w:val="20"/>
                <w:szCs w:val="20"/>
              </w:rPr>
              <w:t xml:space="preserve">32,295</w:t>
            </w:r>
          </w:p>
        </w:tc>
      </w:tr>
      <w:tr>
        <w:tc>
          <w:tcPr>
            <w:tcW w:type="dxa" w:w="4650"/>
            <w:shd w:fill="FFFFFF" w:val="clear"/>
          </w:tcPr>
          <w:p>
            <w:r>
              <w:rPr>
                <w:color w:val="444444"/>
                <w:sz w:val="20"/>
                <w:szCs w:val="20"/>
              </w:rPr>
              <w:t xml:space="preserve">Break-even</w:t>
            </w:r>
          </w:p>
        </w:tc>
        <w:tc>
          <w:tcPr>
            <w:tcW w:type="dxa" w:w="4650"/>
            <w:shd w:fill="FFFFFF" w:val="clear"/>
          </w:tcPr>
          <w:p>
            <w:r>
              <w:rPr>
                <w:color w:val="444444"/>
                <w:sz w:val="20"/>
                <w:szCs w:val="20"/>
              </w:rPr>
              <w:t xml:space="preserve">1,116</w:t>
            </w:r>
          </w:p>
        </w:tc>
      </w:tr>
    </w:tbl>
    <w:p>
      <w:pPr>
        <w:pStyle w:val="Heading2"/>
        <w:spacing w:after="120" w:before="260"/>
      </w:pPr>
      <w:r>
        <w:rPr>
          <w:b/>
          <w:bCs/>
          <w:color w:val="2E7D6B"/>
          <w:sz w:val="24"/>
          <w:szCs w:val="24"/>
        </w:rPr>
        <w:t xml:space="preserve">6.2 Delay Distribution and Profit Impact</w:t>
      </w:r>
    </w:p>
    <w:p>
      <w:pPr>
        <w:spacing w:after="160" w:line="300"/>
      </w:pPr>
      <w:r>
        <w:rPr>
          <w:color w:val="444444"/>
          <w:sz w:val="22"/>
          <w:szCs w:val="22"/>
        </w:rPr>
        <w:t xml:space="preserve">Delay is measured as the difference between actual order-processing time and the scheduled shipment time. A positive value means the order was delivered later than promised. The delay distribution shows that 30.97% of all orders are delivered exactly 1 day late — the single largest delay bucket — while only about 7.8% of orders are delayed by 3 or more days.</w:t>
      </w:r>
    </w:p>
    <w:p>
      <w:pPr>
        <w:spacing w:after="60" w:before="160"/>
        <w:jc w:val="center"/>
      </w:pPr>
      <w:r>
        <w:drawing>
          <wp:inline distT="0" distB="0" distL="0" distR="0">
            <wp:extent cx="59055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533650"/>
                    </a:xfrm>
                    <a:prstGeom prst="rect">
                      <a:avLst/>
                    </a:prstGeom>
                  </pic:spPr>
                </pic:pic>
              </a:graphicData>
            </a:graphic>
          </wp:inline>
        </w:drawing>
      </w:r>
    </w:p>
    <w:p>
      <w:pPr>
        <w:spacing w:after="260" w:before="100"/>
        <w:jc w:val="center"/>
      </w:pPr>
      <w:r>
        <w:rPr>
          <w:i/>
          <w:iCs/>
          <w:color w:val="666666"/>
          <w:sz w:val="20"/>
          <w:szCs w:val="20"/>
        </w:rPr>
        <w:t xml:space="preserve">Figure 2: Delay Distribution (left) and Total/Mean Profit by Delay Days (right)</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1800"/>
        <w:gridCol w:w="1700"/>
      </w:tblGrid>
      <w:tr>
        <w:trPr>
          <w:tblHeader/>
        </w:trPr>
        <w:tc>
          <w:tcPr>
            <w:tcW w:type="dxa" w:w="2000"/>
            <w:shd w:fill="1F3864" w:val="clear"/>
          </w:tcPr>
          <w:p>
            <w:r>
              <w:rPr>
                <w:b/>
                <w:bCs/>
                <w:color w:val="FFFFFF"/>
                <w:sz w:val="20"/>
                <w:szCs w:val="20"/>
              </w:rPr>
              <w:t xml:space="preserve">Delay (days)</w:t>
            </w:r>
          </w:p>
        </w:tc>
        <w:tc>
          <w:tcPr>
            <w:tcW w:type="dxa" w:w="2400"/>
            <w:shd w:fill="1F3864" w:val="clear"/>
          </w:tcPr>
          <w:p>
            <w:r>
              <w:rPr>
                <w:b/>
                <w:bCs/>
                <w:color w:val="FFFFFF"/>
                <w:sz w:val="20"/>
                <w:szCs w:val="20"/>
              </w:rPr>
              <w:t xml:space="preserve">Mean Profit ($)</w:t>
            </w:r>
          </w:p>
        </w:tc>
        <w:tc>
          <w:tcPr>
            <w:tcW w:type="dxa" w:w="2400"/>
            <w:shd w:fill="1F3864" w:val="clear"/>
          </w:tcPr>
          <w:p>
            <w:r>
              <w:rPr>
                <w:b/>
                <w:bCs/>
                <w:color w:val="FFFFFF"/>
                <w:sz w:val="20"/>
                <w:szCs w:val="20"/>
              </w:rPr>
              <w:t xml:space="preserve">Total Profit ($)</w:t>
            </w:r>
          </w:p>
        </w:tc>
        <w:tc>
          <w:tcPr>
            <w:tcW w:type="dxa" w:w="1800"/>
            <w:shd w:fill="1F3864" w:val="clear"/>
          </w:tcPr>
          <w:p>
            <w:r>
              <w:rPr>
                <w:b/>
                <w:bCs/>
                <w:color w:val="FFFFFF"/>
                <w:sz w:val="20"/>
                <w:szCs w:val="20"/>
              </w:rPr>
              <w:t xml:space="preserve">Order Count</w:t>
            </w:r>
          </w:p>
        </w:tc>
        <w:tc>
          <w:tcPr>
            <w:tcW w:type="dxa" w:w="1700"/>
            <w:shd w:fill="1F3864" w:val="clear"/>
          </w:tcPr>
          <w:p>
            <w:r>
              <w:rPr>
                <w:b/>
                <w:bCs/>
                <w:color w:val="FFFFFF"/>
                <w:sz w:val="20"/>
                <w:szCs w:val="20"/>
              </w:rPr>
              <w:t xml:space="preserve">% of Orders</w:t>
            </w:r>
          </w:p>
        </w:tc>
      </w:tr>
      <w:tr>
        <w:tc>
          <w:tcPr>
            <w:tcW w:type="dxa" w:w="2000"/>
            <w:shd w:fill="FFFFFF" w:val="clear"/>
          </w:tcPr>
          <w:p>
            <w:r>
              <w:rPr>
                <w:color w:val="444444"/>
                <w:sz w:val="20"/>
                <w:szCs w:val="20"/>
              </w:rPr>
              <w:t xml:space="preserve">-2</w:t>
            </w:r>
          </w:p>
        </w:tc>
        <w:tc>
          <w:tcPr>
            <w:tcW w:type="dxa" w:w="2400"/>
            <w:shd w:fill="FFFFFF" w:val="clear"/>
          </w:tcPr>
          <w:p>
            <w:r>
              <w:rPr>
                <w:color w:val="444444"/>
                <w:sz w:val="20"/>
                <w:szCs w:val="20"/>
              </w:rPr>
              <w:t xml:space="preserve">23.4</w:t>
            </w:r>
          </w:p>
        </w:tc>
        <w:tc>
          <w:tcPr>
            <w:tcW w:type="dxa" w:w="2400"/>
            <w:shd w:fill="FFFFFF" w:val="clear"/>
          </w:tcPr>
          <w:p>
            <w:r>
              <w:rPr>
                <w:color w:val="444444"/>
                <w:sz w:val="20"/>
                <w:szCs w:val="20"/>
              </w:rPr>
              <w:t xml:space="preserve">487,596</w:t>
            </w:r>
          </w:p>
        </w:tc>
        <w:tc>
          <w:tcPr>
            <w:tcW w:type="dxa" w:w="1800"/>
            <w:shd w:fill="FFFFFF" w:val="clear"/>
          </w:tcPr>
          <w:p>
            <w:r>
              <w:rPr>
                <w:color w:val="444444"/>
                <w:sz w:val="20"/>
                <w:szCs w:val="20"/>
              </w:rPr>
              <w:t xml:space="preserve">20,873</w:t>
            </w:r>
          </w:p>
        </w:tc>
        <w:tc>
          <w:tcPr>
            <w:tcW w:type="dxa" w:w="1700"/>
            <w:shd w:fill="FFFFFF" w:val="clear"/>
          </w:tcPr>
          <w:p>
            <w:r>
              <w:rPr>
                <w:color w:val="444444"/>
                <w:sz w:val="20"/>
                <w:szCs w:val="20"/>
              </w:rPr>
              <w:t xml:space="preserve">12.08%</w:t>
            </w:r>
          </w:p>
        </w:tc>
      </w:tr>
      <w:tr>
        <w:tc>
          <w:tcPr>
            <w:tcW w:type="dxa" w:w="2000"/>
            <w:shd w:fill="F2F2F2" w:val="clear"/>
          </w:tcPr>
          <w:p>
            <w:r>
              <w:rPr>
                <w:color w:val="444444"/>
                <w:sz w:val="20"/>
                <w:szCs w:val="20"/>
              </w:rPr>
              <w:t xml:space="preserve">-1</w:t>
            </w:r>
          </w:p>
        </w:tc>
        <w:tc>
          <w:tcPr>
            <w:tcW w:type="dxa" w:w="2400"/>
            <w:shd w:fill="F2F2F2" w:val="clear"/>
          </w:tcPr>
          <w:p>
            <w:r>
              <w:rPr>
                <w:color w:val="444444"/>
                <w:sz w:val="20"/>
                <w:szCs w:val="20"/>
              </w:rPr>
              <w:t xml:space="preserve">21.6</w:t>
            </w:r>
          </w:p>
        </w:tc>
        <w:tc>
          <w:tcPr>
            <w:tcW w:type="dxa" w:w="2400"/>
            <w:shd w:fill="F2F2F2" w:val="clear"/>
          </w:tcPr>
          <w:p>
            <w:r>
              <w:rPr>
                <w:color w:val="444444"/>
                <w:sz w:val="20"/>
                <w:szCs w:val="20"/>
              </w:rPr>
              <w:t xml:space="preserve">447,629</w:t>
            </w:r>
          </w:p>
        </w:tc>
        <w:tc>
          <w:tcPr>
            <w:tcW w:type="dxa" w:w="1800"/>
            <w:shd w:fill="F2F2F2" w:val="clear"/>
          </w:tcPr>
          <w:p>
            <w:r>
              <w:rPr>
                <w:color w:val="444444"/>
                <w:sz w:val="20"/>
                <w:szCs w:val="20"/>
              </w:rPr>
              <w:t xml:space="preserve">20,719</w:t>
            </w:r>
          </w:p>
        </w:tc>
        <w:tc>
          <w:tcPr>
            <w:tcW w:type="dxa" w:w="1700"/>
            <w:shd w:fill="F2F2F2" w:val="clear"/>
          </w:tcPr>
          <w:p>
            <w:r>
              <w:rPr>
                <w:color w:val="444444"/>
                <w:sz w:val="20"/>
                <w:szCs w:val="20"/>
              </w:rPr>
              <w:t xml:space="preserve">11.99%</w:t>
            </w:r>
          </w:p>
        </w:tc>
      </w:tr>
      <w:tr>
        <w:tc>
          <w:tcPr>
            <w:tcW w:type="dxa" w:w="2000"/>
            <w:shd w:fill="FFFFFF" w:val="clear"/>
          </w:tcPr>
          <w:p>
            <w:r>
              <w:rPr>
                <w:color w:val="444444"/>
                <w:sz w:val="20"/>
                <w:szCs w:val="20"/>
              </w:rPr>
              <w:t xml:space="preserve">0</w:t>
            </w:r>
          </w:p>
        </w:tc>
        <w:tc>
          <w:tcPr>
            <w:tcW w:type="dxa" w:w="2400"/>
            <w:shd w:fill="FFFFFF" w:val="clear"/>
          </w:tcPr>
          <w:p>
            <w:r>
              <w:rPr>
                <w:color w:val="444444"/>
                <w:sz w:val="20"/>
                <w:szCs w:val="20"/>
              </w:rPr>
              <w:t xml:space="preserve">22.2</w:t>
            </w:r>
          </w:p>
        </w:tc>
        <w:tc>
          <w:tcPr>
            <w:tcW w:type="dxa" w:w="2400"/>
            <w:shd w:fill="FFFFFF" w:val="clear"/>
          </w:tcPr>
          <w:p>
            <w:r>
              <w:rPr>
                <w:color w:val="444444"/>
                <w:sz w:val="20"/>
                <w:szCs w:val="20"/>
              </w:rPr>
              <w:t xml:space="preserve">815,430</w:t>
            </w:r>
          </w:p>
        </w:tc>
        <w:tc>
          <w:tcPr>
            <w:tcW w:type="dxa" w:w="1800"/>
            <w:shd w:fill="FFFFFF" w:val="clear"/>
          </w:tcPr>
          <w:p>
            <w:r>
              <w:rPr>
                <w:color w:val="444444"/>
                <w:sz w:val="20"/>
                <w:szCs w:val="20"/>
              </w:rPr>
              <w:t xml:space="preserve">36,650</w:t>
            </w:r>
          </w:p>
        </w:tc>
        <w:tc>
          <w:tcPr>
            <w:tcW w:type="dxa" w:w="1700"/>
            <w:shd w:fill="FFFFFF" w:val="clear"/>
          </w:tcPr>
          <w:p>
            <w:r>
              <w:rPr>
                <w:color w:val="444444"/>
                <w:sz w:val="20"/>
                <w:szCs w:val="20"/>
              </w:rPr>
              <w:t xml:space="preserve">21.21%</w:t>
            </w:r>
          </w:p>
        </w:tc>
      </w:tr>
      <w:tr>
        <w:tc>
          <w:tcPr>
            <w:tcW w:type="dxa" w:w="2000"/>
            <w:shd w:fill="F2F2F2" w:val="clear"/>
          </w:tcPr>
          <w:p>
            <w:r>
              <w:rPr>
                <w:color w:val="444444"/>
                <w:sz w:val="20"/>
                <w:szCs w:val="20"/>
              </w:rPr>
              <w:t xml:space="preserve">1</w:t>
            </w:r>
          </w:p>
        </w:tc>
        <w:tc>
          <w:tcPr>
            <w:tcW w:type="dxa" w:w="2400"/>
            <w:shd w:fill="F2F2F2" w:val="clear"/>
          </w:tcPr>
          <w:p>
            <w:r>
              <w:rPr>
                <w:color w:val="444444"/>
                <w:sz w:val="20"/>
                <w:szCs w:val="20"/>
              </w:rPr>
              <w:t xml:space="preserve">22.3</w:t>
            </w:r>
          </w:p>
        </w:tc>
        <w:tc>
          <w:tcPr>
            <w:tcW w:type="dxa" w:w="2400"/>
            <w:shd w:fill="F2F2F2" w:val="clear"/>
          </w:tcPr>
          <w:p>
            <w:r>
              <w:rPr>
                <w:color w:val="444444"/>
                <w:sz w:val="20"/>
                <w:szCs w:val="20"/>
              </w:rPr>
              <w:t xml:space="preserve">1,194,895</w:t>
            </w:r>
          </w:p>
        </w:tc>
        <w:tc>
          <w:tcPr>
            <w:tcW w:type="dxa" w:w="1800"/>
            <w:shd w:fill="F2F2F2" w:val="clear"/>
          </w:tcPr>
          <w:p>
            <w:r>
              <w:rPr>
                <w:color w:val="444444"/>
                <w:sz w:val="20"/>
                <w:szCs w:val="20"/>
              </w:rPr>
              <w:t xml:space="preserve">53,503</w:t>
            </w:r>
          </w:p>
        </w:tc>
        <w:tc>
          <w:tcPr>
            <w:tcW w:type="dxa" w:w="1700"/>
            <w:shd w:fill="F2F2F2" w:val="clear"/>
          </w:tcPr>
          <w:p>
            <w:r>
              <w:rPr>
                <w:color w:val="444444"/>
                <w:sz w:val="20"/>
                <w:szCs w:val="20"/>
              </w:rPr>
              <w:t xml:space="preserve">30.97%</w:t>
            </w:r>
          </w:p>
        </w:tc>
      </w:tr>
      <w:tr>
        <w:tc>
          <w:tcPr>
            <w:tcW w:type="dxa" w:w="2000"/>
            <w:shd w:fill="FFFFFF" w:val="clear"/>
          </w:tcPr>
          <w:p>
            <w:r>
              <w:rPr>
                <w:color w:val="444444"/>
                <w:sz w:val="20"/>
                <w:szCs w:val="20"/>
              </w:rPr>
              <w:t xml:space="preserve">2</w:t>
            </w:r>
          </w:p>
        </w:tc>
        <w:tc>
          <w:tcPr>
            <w:tcW w:type="dxa" w:w="2400"/>
            <w:shd w:fill="FFFFFF" w:val="clear"/>
          </w:tcPr>
          <w:p>
            <w:r>
              <w:rPr>
                <w:color w:val="444444"/>
                <w:sz w:val="20"/>
                <w:szCs w:val="20"/>
              </w:rPr>
              <w:t xml:space="preserve">21.1</w:t>
            </w:r>
          </w:p>
        </w:tc>
        <w:tc>
          <w:tcPr>
            <w:tcW w:type="dxa" w:w="2400"/>
            <w:shd w:fill="FFFFFF" w:val="clear"/>
          </w:tcPr>
          <w:p>
            <w:r>
              <w:rPr>
                <w:color w:val="444444"/>
                <w:sz w:val="20"/>
                <w:szCs w:val="20"/>
              </w:rPr>
              <w:t xml:space="preserve">582,111</w:t>
            </w:r>
          </w:p>
        </w:tc>
        <w:tc>
          <w:tcPr>
            <w:tcW w:type="dxa" w:w="1800"/>
            <w:shd w:fill="FFFFFF" w:val="clear"/>
          </w:tcPr>
          <w:p>
            <w:r>
              <w:rPr>
                <w:color w:val="444444"/>
                <w:sz w:val="20"/>
                <w:szCs w:val="20"/>
              </w:rPr>
              <w:t xml:space="preserve">27,551</w:t>
            </w:r>
          </w:p>
        </w:tc>
        <w:tc>
          <w:tcPr>
            <w:tcW w:type="dxa" w:w="1700"/>
            <w:shd w:fill="FFFFFF" w:val="clear"/>
          </w:tcPr>
          <w:p>
            <w:r>
              <w:rPr>
                <w:color w:val="444444"/>
                <w:sz w:val="20"/>
                <w:szCs w:val="20"/>
              </w:rPr>
              <w:t xml:space="preserve">15.95%</w:t>
            </w:r>
          </w:p>
        </w:tc>
      </w:tr>
      <w:tr>
        <w:tc>
          <w:tcPr>
            <w:tcW w:type="dxa" w:w="2000"/>
            <w:shd w:fill="F2F2F2" w:val="clear"/>
          </w:tcPr>
          <w:p>
            <w:r>
              <w:rPr>
                <w:color w:val="444444"/>
                <w:sz w:val="20"/>
                <w:szCs w:val="20"/>
              </w:rPr>
              <w:t xml:space="preserve">3</w:t>
            </w:r>
          </w:p>
        </w:tc>
        <w:tc>
          <w:tcPr>
            <w:tcW w:type="dxa" w:w="2400"/>
            <w:shd w:fill="F2F2F2" w:val="clear"/>
          </w:tcPr>
          <w:p>
            <w:r>
              <w:rPr>
                <w:color w:val="444444"/>
                <w:sz w:val="20"/>
                <w:szCs w:val="20"/>
              </w:rPr>
              <w:t xml:space="preserve">20.0</w:t>
            </w:r>
          </w:p>
        </w:tc>
        <w:tc>
          <w:tcPr>
            <w:tcW w:type="dxa" w:w="2400"/>
            <w:shd w:fill="F2F2F2" w:val="clear"/>
          </w:tcPr>
          <w:p>
            <w:r>
              <w:rPr>
                <w:color w:val="444444"/>
                <w:sz w:val="20"/>
                <w:szCs w:val="20"/>
              </w:rPr>
              <w:t xml:space="preserve">135,653</w:t>
            </w:r>
          </w:p>
        </w:tc>
        <w:tc>
          <w:tcPr>
            <w:tcW w:type="dxa" w:w="1800"/>
            <w:shd w:fill="F2F2F2" w:val="clear"/>
          </w:tcPr>
          <w:p>
            <w:r>
              <w:rPr>
                <w:color w:val="444444"/>
                <w:sz w:val="20"/>
                <w:szCs w:val="20"/>
              </w:rPr>
              <w:t xml:space="preserve">6,772</w:t>
            </w:r>
          </w:p>
        </w:tc>
        <w:tc>
          <w:tcPr>
            <w:tcW w:type="dxa" w:w="1700"/>
            <w:shd w:fill="F2F2F2" w:val="clear"/>
          </w:tcPr>
          <w:p>
            <w:r>
              <w:rPr>
                <w:color w:val="444444"/>
                <w:sz w:val="20"/>
                <w:szCs w:val="20"/>
              </w:rPr>
              <w:t xml:space="preserve">3.92%</w:t>
            </w:r>
          </w:p>
        </w:tc>
      </w:tr>
      <w:tr>
        <w:tc>
          <w:tcPr>
            <w:tcW w:type="dxa" w:w="2000"/>
            <w:shd w:fill="FFFFFF" w:val="clear"/>
          </w:tcPr>
          <w:p>
            <w:r>
              <w:rPr>
                <w:color w:val="444444"/>
                <w:sz w:val="20"/>
                <w:szCs w:val="20"/>
              </w:rPr>
              <w:t xml:space="preserve">4</w:t>
            </w:r>
          </w:p>
        </w:tc>
        <w:tc>
          <w:tcPr>
            <w:tcW w:type="dxa" w:w="2400"/>
            <w:shd w:fill="FFFFFF" w:val="clear"/>
          </w:tcPr>
          <w:p>
            <w:r>
              <w:rPr>
                <w:color w:val="444444"/>
                <w:sz w:val="20"/>
                <w:szCs w:val="20"/>
              </w:rPr>
              <w:t xml:space="preserve">21.4</w:t>
            </w:r>
          </w:p>
        </w:tc>
        <w:tc>
          <w:tcPr>
            <w:tcW w:type="dxa" w:w="2400"/>
            <w:shd w:fill="FFFFFF" w:val="clear"/>
          </w:tcPr>
          <w:p>
            <w:r>
              <w:rPr>
                <w:color w:val="444444"/>
                <w:sz w:val="20"/>
                <w:szCs w:val="20"/>
              </w:rPr>
              <w:t xml:space="preserve">143,107</w:t>
            </w:r>
          </w:p>
        </w:tc>
        <w:tc>
          <w:tcPr>
            <w:tcW w:type="dxa" w:w="1800"/>
            <w:shd w:fill="FFFFFF" w:val="clear"/>
          </w:tcPr>
          <w:p>
            <w:r>
              <w:rPr>
                <w:color w:val="444444"/>
                <w:sz w:val="20"/>
                <w:szCs w:val="20"/>
              </w:rPr>
              <w:t xml:space="preserve">6,697</w:t>
            </w:r>
          </w:p>
        </w:tc>
        <w:tc>
          <w:tcPr>
            <w:tcW w:type="dxa" w:w="1700"/>
            <w:shd w:fill="FFFFFF" w:val="clear"/>
          </w:tcPr>
          <w:p>
            <w:r>
              <w:rPr>
                <w:color w:val="444444"/>
                <w:sz w:val="20"/>
                <w:szCs w:val="20"/>
              </w:rPr>
              <w:t xml:space="preserve">3.88%</w:t>
            </w:r>
          </w:p>
        </w:tc>
      </w:tr>
    </w:tbl>
    <w:p>
      <w:pPr>
        <w:spacing w:after="160" w:line="300"/>
      </w:pPr>
      <w:r>
        <w:rPr>
          <w:color w:val="444444"/>
          <w:sz w:val="22"/>
          <w:szCs w:val="22"/>
        </w:rPr>
        <w:t xml:space="preserve">Interestingly, mean profit per order stays relatively stable (roughly $20–$23) across all delay levels, meaning delay alone does not sharply erode per-order margin. However, because 1-day-late orders make up the largest share of volume (31%), they also generate the largest total profit pool — showing that delay-related losses are driven more by shipping cost and customer-experience risk than by shrinking per-order margins directly captured in this metric.</w:t>
      </w:r>
    </w:p>
    <w:p>
      <w:pPr>
        <w:pStyle w:val="Heading1"/>
        <w:pBdr>
          <w:bottom w:val="single" w:color="1F3864" w:sz="6" w:space="4"/>
        </w:pBdr>
        <w:spacing w:after="160" w:before="360"/>
      </w:pPr>
      <w:r>
        <w:rPr>
          <w:b/>
          <w:bCs/>
          <w:color w:val="1F3864"/>
          <w:sz w:val="30"/>
          <w:szCs w:val="30"/>
        </w:rPr>
        <w:t xml:space="preserve">7. Feature Engineering</w:t>
      </w:r>
    </w:p>
    <w:p>
      <w:pPr>
        <w:spacing w:after="160" w:line="300"/>
      </w:pPr>
      <w:r>
        <w:rPr>
          <w:color w:val="444444"/>
          <w:sz w:val="22"/>
          <w:szCs w:val="22"/>
        </w:rPr>
        <w:t xml:space="preserve">The following features were engineered to support both exploratory analysis and predictive modeling: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300"/>
        <w:gridCol w:w="6000"/>
      </w:tblGrid>
      <w:tr>
        <w:trPr>
          <w:tblHeader/>
        </w:trPr>
        <w:tc>
          <w:tcPr>
            <w:tcW w:type="dxa" w:w="3300"/>
            <w:shd w:fill="1F3864" w:val="clear"/>
          </w:tcPr>
          <w:p>
            <w:r>
              <w:rPr>
                <w:b/>
                <w:bCs/>
                <w:color w:val="FFFFFF"/>
                <w:sz w:val="20"/>
                <w:szCs w:val="20"/>
              </w:rPr>
              <w:t xml:space="preserve">Feature</w:t>
            </w:r>
          </w:p>
        </w:tc>
        <w:tc>
          <w:tcPr>
            <w:tcW w:type="dxa" w:w="6000"/>
            <w:shd w:fill="1F3864" w:val="clear"/>
          </w:tcPr>
          <w:p>
            <w:r>
              <w:rPr>
                <w:b/>
                <w:bCs/>
                <w:color w:val="FFFFFF"/>
                <w:sz w:val="20"/>
                <w:szCs w:val="20"/>
              </w:rPr>
              <w:t xml:space="preserve">Description</w:t>
            </w:r>
          </w:p>
        </w:tc>
      </w:tr>
      <w:tr>
        <w:tc>
          <w:tcPr>
            <w:tcW w:type="dxa" w:w="3300"/>
            <w:shd w:fill="FFFFFF" w:val="clear"/>
          </w:tcPr>
          <w:p>
            <w:r>
              <w:rPr>
                <w:color w:val="444444"/>
                <w:sz w:val="20"/>
                <w:szCs w:val="20"/>
              </w:rPr>
              <w:t xml:space="preserve">Order Processing Time</w:t>
            </w:r>
          </w:p>
        </w:tc>
        <w:tc>
          <w:tcPr>
            <w:tcW w:type="dxa" w:w="6000"/>
            <w:shd w:fill="FFFFFF" w:val="clear"/>
          </w:tcPr>
          <w:p>
            <w:r>
              <w:rPr>
                <w:color w:val="444444"/>
                <w:sz w:val="20"/>
                <w:szCs w:val="20"/>
              </w:rPr>
              <w:t xml:space="preserve">Difference (in days) between shipping date and order date</w:t>
            </w:r>
          </w:p>
        </w:tc>
      </w:tr>
      <w:tr>
        <w:tc>
          <w:tcPr>
            <w:tcW w:type="dxa" w:w="3300"/>
            <w:shd w:fill="F2F2F2" w:val="clear"/>
          </w:tcPr>
          <w:p>
            <w:r>
              <w:rPr>
                <w:color w:val="444444"/>
                <w:sz w:val="20"/>
                <w:szCs w:val="20"/>
              </w:rPr>
              <w:t xml:space="preserve">Delay</w:t>
            </w:r>
          </w:p>
        </w:tc>
        <w:tc>
          <w:tcPr>
            <w:tcW w:type="dxa" w:w="6000"/>
            <w:shd w:fill="F2F2F2" w:val="clear"/>
          </w:tcPr>
          <w:p>
            <w:r>
              <w:rPr>
                <w:color w:val="444444"/>
                <w:sz w:val="20"/>
                <w:szCs w:val="20"/>
              </w:rPr>
              <w:t xml:space="preserve">Order Processing Time minus scheduled shipment days; positive = late</w:t>
            </w:r>
          </w:p>
        </w:tc>
      </w:tr>
      <w:tr>
        <w:tc>
          <w:tcPr>
            <w:tcW w:type="dxa" w:w="3300"/>
            <w:shd w:fill="FFFFFF" w:val="clear"/>
          </w:tcPr>
          <w:p>
            <w:r>
              <w:rPr>
                <w:color w:val="444444"/>
                <w:sz w:val="20"/>
                <w:szCs w:val="20"/>
              </w:rPr>
              <w:t xml:space="preserve">Is_Delayed</w:t>
            </w:r>
          </w:p>
        </w:tc>
        <w:tc>
          <w:tcPr>
            <w:tcW w:type="dxa" w:w="6000"/>
            <w:shd w:fill="FFFFFF" w:val="clear"/>
          </w:tcPr>
          <w:p>
            <w:r>
              <w:rPr>
                <w:color w:val="444444"/>
                <w:sz w:val="20"/>
                <w:szCs w:val="20"/>
              </w:rPr>
              <w:t xml:space="preserve">Boolean flag: True if Delay &gt; 0</w:t>
            </w:r>
          </w:p>
        </w:tc>
      </w:tr>
      <w:tr>
        <w:tc>
          <w:tcPr>
            <w:tcW w:type="dxa" w:w="3300"/>
            <w:shd w:fill="F2F2F2" w:val="clear"/>
          </w:tcPr>
          <w:p>
            <w:r>
              <w:rPr>
                <w:color w:val="444444"/>
                <w:sz w:val="20"/>
                <w:szCs w:val="20"/>
              </w:rPr>
              <w:t xml:space="preserve">Profitability Flag</w:t>
            </w:r>
          </w:p>
        </w:tc>
        <w:tc>
          <w:tcPr>
            <w:tcW w:type="dxa" w:w="6000"/>
            <w:shd w:fill="F2F2F2" w:val="clear"/>
          </w:tcPr>
          <w:p>
            <w:r>
              <w:rPr>
                <w:color w:val="444444"/>
                <w:sz w:val="20"/>
                <w:szCs w:val="20"/>
              </w:rPr>
              <w:t xml:space="preserve">Categorizes each order as Profit / Loss / Break-even</w:t>
            </w:r>
          </w:p>
        </w:tc>
      </w:tr>
      <w:tr>
        <w:tc>
          <w:tcPr>
            <w:tcW w:type="dxa" w:w="3300"/>
            <w:shd w:fill="FFFFFF" w:val="clear"/>
          </w:tcPr>
          <w:p>
            <w:r>
              <w:rPr>
                <w:color w:val="444444"/>
                <w:sz w:val="20"/>
                <w:szCs w:val="20"/>
              </w:rPr>
              <w:t xml:space="preserve">order_month / order_day / order_hour</w:t>
            </w:r>
          </w:p>
        </w:tc>
        <w:tc>
          <w:tcPr>
            <w:tcW w:type="dxa" w:w="6000"/>
            <w:shd w:fill="FFFFFF" w:val="clear"/>
          </w:tcPr>
          <w:p>
            <w:r>
              <w:rPr>
                <w:color w:val="444444"/>
                <w:sz w:val="20"/>
                <w:szCs w:val="20"/>
              </w:rPr>
              <w:t xml:space="preserve">Extracted from order date for seasonal/time-of-day patterns</w:t>
            </w:r>
          </w:p>
        </w:tc>
      </w:tr>
      <w:tr>
        <w:tc>
          <w:tcPr>
            <w:tcW w:type="dxa" w:w="3300"/>
            <w:shd w:fill="F2F2F2" w:val="clear"/>
          </w:tcPr>
          <w:p>
            <w:r>
              <w:rPr>
                <w:color w:val="444444"/>
                <w:sz w:val="20"/>
                <w:szCs w:val="20"/>
              </w:rPr>
              <w:t xml:space="preserve">Frequency-encoded categorical features</w:t>
            </w:r>
          </w:p>
        </w:tc>
        <w:tc>
          <w:tcPr>
            <w:tcW w:type="dxa" w:w="6000"/>
            <w:shd w:fill="F2F2F2" w:val="clear"/>
          </w:tcPr>
          <w:p>
            <w:r>
              <w:rPr>
                <w:color w:val="444444"/>
                <w:sz w:val="20"/>
                <w:szCs w:val="20"/>
              </w:rPr>
              <w:t xml:space="preserve">Type, Category Name, Customer Segment, Department Name, Order Region, Shipping Mode converted to frequency scores for modeling</w:t>
            </w:r>
          </w:p>
        </w:tc>
      </w:tr>
    </w:tbl>
    <w:p>
      <w:pPr>
        <w:pStyle w:val="Heading1"/>
        <w:pBdr>
          <w:bottom w:val="single" w:color="1F3864" w:sz="6" w:space="4"/>
        </w:pBdr>
        <w:spacing w:after="160" w:before="360"/>
      </w:pPr>
      <w:r>
        <w:rPr>
          <w:b/>
          <w:bCs/>
          <w:color w:val="1F3864"/>
          <w:sz w:val="30"/>
          <w:szCs w:val="30"/>
        </w:rPr>
        <w:t xml:space="preserve">8. Machine Learning Model</w:t>
      </w:r>
    </w:p>
    <w:p>
      <w:pPr>
        <w:spacing w:after="160" w:line="300"/>
      </w:pPr>
      <w:r>
        <w:rPr>
          <w:color w:val="444444"/>
          <w:sz w:val="22"/>
          <w:szCs w:val="22"/>
        </w:rPr>
        <w:t xml:space="preserve">The target variable is 'Late_delivery_risk' (binary: 1 = high risk of late delivery, 0 = low risk). The target distribution is moderately imbalanced: 98,977 orders labeled high-risk (1) versus 73,788 labeled low-risk (0).</w:t>
      </w:r>
    </w:p>
    <w:p>
      <w:pPr>
        <w:pStyle w:val="Heading2"/>
        <w:spacing w:after="120" w:before="260"/>
      </w:pPr>
      <w:r>
        <w:rPr>
          <w:b/>
          <w:bCs/>
          <w:color w:val="2E7D6B"/>
          <w:sz w:val="24"/>
          <w:szCs w:val="24"/>
        </w:rPr>
        <w:t xml:space="preserve">8.1 Feature Set</w:t>
      </w:r>
    </w:p>
    <w:p>
      <w:pPr>
        <w:spacing w:after="160" w:line="300"/>
      </w:pPr>
      <w:r>
        <w:rPr>
          <w:color w:val="444444"/>
          <w:sz w:val="22"/>
          <w:szCs w:val="22"/>
        </w:rPr>
        <w:t xml:space="preserve">The model uses: Type, Days for shipment (scheduled), Category Name, Customer Segment, Department Name, Order Region, Shipping Mode, order_month, and order_hour. Categorical columns were frequency-encoded rather than one-hot encoded, keeping dimensionality low while remaining robust to high-cardinality fields.</w:t>
      </w:r>
    </w:p>
    <w:p>
      <w:pPr>
        <w:pStyle w:val="Heading2"/>
        <w:spacing w:after="120" w:before="260"/>
      </w:pPr>
      <w:r>
        <w:rPr>
          <w:b/>
          <w:bCs/>
          <w:color w:val="2E7D6B"/>
          <w:sz w:val="24"/>
          <w:szCs w:val="24"/>
        </w:rPr>
        <w:t xml:space="preserve">8.2 Train/Test Split &amp; Class Balancing</w:t>
      </w:r>
    </w:p>
    <w:p>
      <w:pPr>
        <w:spacing w:after="160" w:line="300"/>
      </w:pPr>
      <w:r>
        <w:rPr>
          <w:color w:val="444444"/>
          <w:sz w:val="22"/>
          <w:szCs w:val="22"/>
        </w:rPr>
        <w:t xml:space="preserve">Data was split 80/20 with stratification on the target variable (X_train shape reflects 172,765 total rows, encoded to 9 features). Because the training set was imbalanced (79,182 vs. 59,030 before balancing), SMOTE (Synthetic Minority Over-sampling Technique) was applied to the training set only, producing a balanced 79,182 / 79,182 split for model training.</w:t>
      </w:r>
    </w:p>
    <w:p>
      <w:pPr>
        <w:pStyle w:val="Heading2"/>
        <w:spacing w:after="120" w:before="260"/>
      </w:pPr>
      <w:r>
        <w:rPr>
          <w:b/>
          <w:bCs/>
          <w:color w:val="2E7D6B"/>
          <w:sz w:val="24"/>
          <w:szCs w:val="24"/>
        </w:rPr>
        <w:t xml:space="preserve">8.3 Model Selection</w:t>
      </w:r>
    </w:p>
    <w:p>
      <w:pPr>
        <w:spacing w:after="160" w:line="300"/>
      </w:pPr>
      <w:r>
        <w:rPr>
          <w:color w:val="444444"/>
          <w:sz w:val="22"/>
          <w:szCs w:val="22"/>
        </w:rPr>
        <w:t xml:space="preserve">A Random Forest Classifier (random_state = 42) was trained on the SMOTE-balanced training data and evaluated on the untouched, original-distribution test set to ensure realistic performance estimates.</w:t>
      </w:r>
    </w:p>
    <w:p>
      <w:pPr>
        <w:pStyle w:val="Heading1"/>
        <w:pBdr>
          <w:bottom w:val="single" w:color="1F3864" w:sz="6" w:space="4"/>
        </w:pBdr>
        <w:spacing w:after="160" w:before="360"/>
      </w:pPr>
      <w:r>
        <w:rPr>
          <w:b/>
          <w:bCs/>
          <w:color w:val="1F3864"/>
          <w:sz w:val="30"/>
          <w:szCs w:val="30"/>
        </w:rPr>
        <w:t xml:space="preserve">9. Model Evaluation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3864" w:val="clear"/>
          </w:tcPr>
          <w:p>
            <w:r>
              <w:rPr>
                <w:b/>
                <w:bCs/>
                <w:color w:val="FFFFFF"/>
                <w:sz w:val="22"/>
                <w:szCs w:val="22"/>
              </w:rPr>
              <w:t xml:space="preserve">KPI</w:t>
            </w:r>
          </w:p>
        </w:tc>
        <w:tc>
          <w:tcPr>
            <w:tcW w:type="dxa" w:w="4500"/>
            <w:shd w:fill="1F3864" w:val="clear"/>
          </w:tcPr>
          <w:p>
            <w:r>
              <w:rPr>
                <w:b/>
                <w:bCs/>
                <w:color w:val="FFFFFF"/>
                <w:sz w:val="22"/>
                <w:szCs w:val="22"/>
              </w:rPr>
              <w:t xml:space="preserve">Value</w:t>
            </w:r>
          </w:p>
        </w:tc>
      </w:tr>
      <w:tr>
        <w:tc>
          <w:tcPr>
            <w:tcW w:type="dxa" w:w="4500"/>
            <w:shd w:fill="FFFFFF" w:val="clear"/>
          </w:tcPr>
          <w:p>
            <w:r>
              <w:rPr>
                <w:color w:val="444444"/>
                <w:sz w:val="22"/>
                <w:szCs w:val="22"/>
              </w:rPr>
              <w:t xml:space="preserve">Accuracy</w:t>
            </w:r>
          </w:p>
        </w:tc>
        <w:tc>
          <w:tcPr>
            <w:tcW w:type="dxa" w:w="4500"/>
            <w:shd w:fill="FFFFFF" w:val="clear"/>
          </w:tcPr>
          <w:p>
            <w:r>
              <w:rPr>
                <w:b/>
                <w:bCs/>
                <w:color w:val="1F3864"/>
                <w:sz w:val="22"/>
                <w:szCs w:val="22"/>
              </w:rPr>
              <w:t xml:space="preserve">0.74</w:t>
            </w:r>
          </w:p>
        </w:tc>
      </w:tr>
      <w:tr>
        <w:tc>
          <w:tcPr>
            <w:tcW w:type="dxa" w:w="4500"/>
            <w:shd w:fill="F2F2F2" w:val="clear"/>
          </w:tcPr>
          <w:p>
            <w:r>
              <w:rPr>
                <w:color w:val="444444"/>
                <w:sz w:val="22"/>
                <w:szCs w:val="22"/>
              </w:rPr>
              <w:t xml:space="preserve">Precision</w:t>
            </w:r>
          </w:p>
        </w:tc>
        <w:tc>
          <w:tcPr>
            <w:tcW w:type="dxa" w:w="4500"/>
            <w:shd w:fill="F2F2F2" w:val="clear"/>
          </w:tcPr>
          <w:p>
            <w:r>
              <w:rPr>
                <w:b/>
                <w:bCs/>
                <w:color w:val="1F3864"/>
                <w:sz w:val="22"/>
                <w:szCs w:val="22"/>
              </w:rPr>
              <w:t xml:space="preserve">0.79</w:t>
            </w:r>
          </w:p>
        </w:tc>
      </w:tr>
      <w:tr>
        <w:tc>
          <w:tcPr>
            <w:tcW w:type="dxa" w:w="4500"/>
            <w:shd w:fill="FFFFFF" w:val="clear"/>
          </w:tcPr>
          <w:p>
            <w:r>
              <w:rPr>
                <w:color w:val="444444"/>
                <w:sz w:val="22"/>
                <w:szCs w:val="22"/>
              </w:rPr>
              <w:t xml:space="preserve">Recall</w:t>
            </w:r>
          </w:p>
        </w:tc>
        <w:tc>
          <w:tcPr>
            <w:tcW w:type="dxa" w:w="4500"/>
            <w:shd w:fill="FFFFFF" w:val="clear"/>
          </w:tcPr>
          <w:p>
            <w:r>
              <w:rPr>
                <w:b/>
                <w:bCs/>
                <w:color w:val="1F3864"/>
                <w:sz w:val="22"/>
                <w:szCs w:val="22"/>
              </w:rPr>
              <w:t xml:space="preserve">0.75</w:t>
            </w:r>
          </w:p>
        </w:tc>
      </w:tr>
    </w:tbl>
    <w:p>
      <w:pPr>
        <w:spacing w:after="160" w:line="300"/>
      </w:pPr>
      <w:r>
        <w:rPr>
          <w:color w:val="444444"/>
          <w:sz w:val="22"/>
          <w:szCs w:val="22"/>
        </w:rPr>
        <w:t xml:space="preserve">Detailed classification report on the test set (34,553 orders):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00"/>
        <w:gridCol w:w="1700"/>
      </w:tblGrid>
      <w:tr>
        <w:trPr>
          <w:tblHeader/>
        </w:trPr>
        <w:tc>
          <w:tcPr>
            <w:tcW w:type="dxa" w:w="2800"/>
            <w:shd w:fill="1F3864" w:val="clear"/>
          </w:tcPr>
          <w:p>
            <w:r>
              <w:rPr>
                <w:b/>
                <w:bCs/>
                <w:color w:val="FFFFFF"/>
                <w:sz w:val="20"/>
                <w:szCs w:val="20"/>
              </w:rPr>
              <w:t xml:space="preserve">Class</w:t>
            </w:r>
          </w:p>
        </w:tc>
        <w:tc>
          <w:tcPr>
            <w:tcW w:type="dxa" w:w="1600"/>
            <w:shd w:fill="1F3864" w:val="clear"/>
          </w:tcPr>
          <w:p>
            <w:r>
              <w:rPr>
                <w:b/>
                <w:bCs/>
                <w:color w:val="FFFFFF"/>
                <w:sz w:val="20"/>
                <w:szCs w:val="20"/>
              </w:rPr>
              <w:t xml:space="preserve">Precision</w:t>
            </w:r>
          </w:p>
        </w:tc>
        <w:tc>
          <w:tcPr>
            <w:tcW w:type="dxa" w:w="1600"/>
            <w:shd w:fill="1F3864" w:val="clear"/>
          </w:tcPr>
          <w:p>
            <w:r>
              <w:rPr>
                <w:b/>
                <w:bCs/>
                <w:color w:val="FFFFFF"/>
                <w:sz w:val="20"/>
                <w:szCs w:val="20"/>
              </w:rPr>
              <w:t xml:space="preserve">Recall</w:t>
            </w:r>
          </w:p>
        </w:tc>
        <w:tc>
          <w:tcPr>
            <w:tcW w:type="dxa" w:w="1600"/>
            <w:shd w:fill="1F3864" w:val="clear"/>
          </w:tcPr>
          <w:p>
            <w:r>
              <w:rPr>
                <w:b/>
                <w:bCs/>
                <w:color w:val="FFFFFF"/>
                <w:sz w:val="20"/>
                <w:szCs w:val="20"/>
              </w:rPr>
              <w:t xml:space="preserve">F1-score</w:t>
            </w:r>
          </w:p>
        </w:tc>
        <w:tc>
          <w:tcPr>
            <w:tcW w:type="dxa" w:w="1700"/>
            <w:shd w:fill="1F3864" w:val="clear"/>
          </w:tcPr>
          <w:p>
            <w:r>
              <w:rPr>
                <w:b/>
                <w:bCs/>
                <w:color w:val="FFFFFF"/>
                <w:sz w:val="20"/>
                <w:szCs w:val="20"/>
              </w:rPr>
              <w:t xml:space="preserve">Support</w:t>
            </w:r>
          </w:p>
        </w:tc>
      </w:tr>
      <w:tr>
        <w:tc>
          <w:tcPr>
            <w:tcW w:type="dxa" w:w="2800"/>
            <w:shd w:fill="FFFFFF" w:val="clear"/>
          </w:tcPr>
          <w:p>
            <w:r>
              <w:rPr>
                <w:color w:val="444444"/>
                <w:sz w:val="20"/>
                <w:szCs w:val="20"/>
              </w:rPr>
              <w:t xml:space="preserve">0 (On-time / Low risk)</w:t>
            </w:r>
          </w:p>
        </w:tc>
        <w:tc>
          <w:tcPr>
            <w:tcW w:type="dxa" w:w="1600"/>
            <w:shd w:fill="FFFFFF" w:val="clear"/>
          </w:tcPr>
          <w:p>
            <w:r>
              <w:rPr>
                <w:color w:val="444444"/>
                <w:sz w:val="20"/>
                <w:szCs w:val="20"/>
              </w:rPr>
              <w:t xml:space="preserve">0.68</w:t>
            </w:r>
          </w:p>
        </w:tc>
        <w:tc>
          <w:tcPr>
            <w:tcW w:type="dxa" w:w="1600"/>
            <w:shd w:fill="FFFFFF" w:val="clear"/>
          </w:tcPr>
          <w:p>
            <w:r>
              <w:rPr>
                <w:color w:val="444444"/>
                <w:sz w:val="20"/>
                <w:szCs w:val="20"/>
              </w:rPr>
              <w:t xml:space="preserve">0.73</w:t>
            </w:r>
          </w:p>
        </w:tc>
        <w:tc>
          <w:tcPr>
            <w:tcW w:type="dxa" w:w="1600"/>
            <w:shd w:fill="FFFFFF" w:val="clear"/>
          </w:tcPr>
          <w:p>
            <w:r>
              <w:rPr>
                <w:color w:val="444444"/>
                <w:sz w:val="20"/>
                <w:szCs w:val="20"/>
              </w:rPr>
              <w:t xml:space="preserve">0.70</w:t>
            </w:r>
          </w:p>
        </w:tc>
        <w:tc>
          <w:tcPr>
            <w:tcW w:type="dxa" w:w="1700"/>
            <w:shd w:fill="FFFFFF" w:val="clear"/>
          </w:tcPr>
          <w:p>
            <w:r>
              <w:rPr>
                <w:color w:val="444444"/>
                <w:sz w:val="20"/>
                <w:szCs w:val="20"/>
              </w:rPr>
              <w:t xml:space="preserve">14,758</w:t>
            </w:r>
          </w:p>
        </w:tc>
      </w:tr>
      <w:tr>
        <w:tc>
          <w:tcPr>
            <w:tcW w:type="dxa" w:w="2800"/>
            <w:shd w:fill="F2F2F2" w:val="clear"/>
          </w:tcPr>
          <w:p>
            <w:r>
              <w:rPr>
                <w:color w:val="444444"/>
                <w:sz w:val="20"/>
                <w:szCs w:val="20"/>
              </w:rPr>
              <w:t xml:space="preserve">1 (Late / High risk)</w:t>
            </w:r>
          </w:p>
        </w:tc>
        <w:tc>
          <w:tcPr>
            <w:tcW w:type="dxa" w:w="1600"/>
            <w:shd w:fill="F2F2F2" w:val="clear"/>
          </w:tcPr>
          <w:p>
            <w:r>
              <w:rPr>
                <w:color w:val="444444"/>
                <w:sz w:val="20"/>
                <w:szCs w:val="20"/>
              </w:rPr>
              <w:t xml:space="preserve">0.79</w:t>
            </w:r>
          </w:p>
        </w:tc>
        <w:tc>
          <w:tcPr>
            <w:tcW w:type="dxa" w:w="1600"/>
            <w:shd w:fill="F2F2F2" w:val="clear"/>
          </w:tcPr>
          <w:p>
            <w:r>
              <w:rPr>
                <w:color w:val="444444"/>
                <w:sz w:val="20"/>
                <w:szCs w:val="20"/>
              </w:rPr>
              <w:t xml:space="preserve">0.75</w:t>
            </w:r>
          </w:p>
        </w:tc>
        <w:tc>
          <w:tcPr>
            <w:tcW w:type="dxa" w:w="1600"/>
            <w:shd w:fill="F2F2F2" w:val="clear"/>
          </w:tcPr>
          <w:p>
            <w:r>
              <w:rPr>
                <w:color w:val="444444"/>
                <w:sz w:val="20"/>
                <w:szCs w:val="20"/>
              </w:rPr>
              <w:t xml:space="preserve">0.77</w:t>
            </w:r>
          </w:p>
        </w:tc>
        <w:tc>
          <w:tcPr>
            <w:tcW w:type="dxa" w:w="1700"/>
            <w:shd w:fill="F2F2F2" w:val="clear"/>
          </w:tcPr>
          <w:p>
            <w:r>
              <w:rPr>
                <w:color w:val="444444"/>
                <w:sz w:val="20"/>
                <w:szCs w:val="20"/>
              </w:rPr>
              <w:t xml:space="preserve">19,795</w:t>
            </w:r>
          </w:p>
        </w:tc>
      </w:tr>
      <w:tr>
        <w:tc>
          <w:tcPr>
            <w:tcW w:type="dxa" w:w="2800"/>
            <w:shd w:fill="FFFFFF" w:val="clear"/>
          </w:tcPr>
          <w:p>
            <w:r>
              <w:rPr>
                <w:color w:val="444444"/>
                <w:sz w:val="20"/>
                <w:szCs w:val="20"/>
              </w:rPr>
              <w:t xml:space="preserve">Accuracy</w:t>
            </w:r>
          </w:p>
        </w:tc>
        <w:tc>
          <w:tcPr>
            <w:tcW w:type="dxa" w:w="1600"/>
            <w:shd w:fill="FFFFFF" w:val="clear"/>
          </w:tcPr>
          <w:p>
            <w:r>
              <w:rPr>
                <w:color w:val="444444"/>
                <w:sz w:val="20"/>
                <w:szCs w:val="20"/>
              </w:rPr>
              <w:t xml:space="preserve"/>
            </w:r>
          </w:p>
        </w:tc>
        <w:tc>
          <w:tcPr>
            <w:tcW w:type="dxa" w:w="1600"/>
            <w:shd w:fill="FFFFFF" w:val="clear"/>
          </w:tcPr>
          <w:p>
            <w:r>
              <w:rPr>
                <w:color w:val="444444"/>
                <w:sz w:val="20"/>
                <w:szCs w:val="20"/>
              </w:rPr>
              <w:t xml:space="preserve"/>
            </w:r>
          </w:p>
        </w:tc>
        <w:tc>
          <w:tcPr>
            <w:tcW w:type="dxa" w:w="1600"/>
            <w:shd w:fill="FFFFFF" w:val="clear"/>
          </w:tcPr>
          <w:p>
            <w:r>
              <w:rPr>
                <w:color w:val="444444"/>
                <w:sz w:val="20"/>
                <w:szCs w:val="20"/>
              </w:rPr>
              <w:t xml:space="preserve">0.74</w:t>
            </w:r>
          </w:p>
        </w:tc>
        <w:tc>
          <w:tcPr>
            <w:tcW w:type="dxa" w:w="1700"/>
            <w:shd w:fill="FFFFFF" w:val="clear"/>
          </w:tcPr>
          <w:p>
            <w:r>
              <w:rPr>
                <w:color w:val="444444"/>
                <w:sz w:val="20"/>
                <w:szCs w:val="20"/>
              </w:rPr>
              <w:t xml:space="preserve">34,553</w:t>
            </w:r>
          </w:p>
        </w:tc>
      </w:tr>
      <w:tr>
        <w:tc>
          <w:tcPr>
            <w:tcW w:type="dxa" w:w="2800"/>
            <w:shd w:fill="F2F2F2" w:val="clear"/>
          </w:tcPr>
          <w:p>
            <w:r>
              <w:rPr>
                <w:color w:val="444444"/>
                <w:sz w:val="20"/>
                <w:szCs w:val="20"/>
              </w:rPr>
              <w:t xml:space="preserve">Macro avg</w:t>
            </w:r>
          </w:p>
        </w:tc>
        <w:tc>
          <w:tcPr>
            <w:tcW w:type="dxa" w:w="1600"/>
            <w:shd w:fill="F2F2F2" w:val="clear"/>
          </w:tcPr>
          <w:p>
            <w:r>
              <w:rPr>
                <w:color w:val="444444"/>
                <w:sz w:val="20"/>
                <w:szCs w:val="20"/>
              </w:rPr>
              <w:t xml:space="preserve">0.73</w:t>
            </w:r>
          </w:p>
        </w:tc>
        <w:tc>
          <w:tcPr>
            <w:tcW w:type="dxa" w:w="1600"/>
            <w:shd w:fill="F2F2F2" w:val="clear"/>
          </w:tcPr>
          <w:p>
            <w:r>
              <w:rPr>
                <w:color w:val="444444"/>
                <w:sz w:val="20"/>
                <w:szCs w:val="20"/>
              </w:rPr>
              <w:t xml:space="preserve">0.74</w:t>
            </w:r>
          </w:p>
        </w:tc>
        <w:tc>
          <w:tcPr>
            <w:tcW w:type="dxa" w:w="1600"/>
            <w:shd w:fill="F2F2F2" w:val="clear"/>
          </w:tcPr>
          <w:p>
            <w:r>
              <w:rPr>
                <w:color w:val="444444"/>
                <w:sz w:val="20"/>
                <w:szCs w:val="20"/>
              </w:rPr>
              <w:t xml:space="preserve">0.73</w:t>
            </w:r>
          </w:p>
        </w:tc>
        <w:tc>
          <w:tcPr>
            <w:tcW w:type="dxa" w:w="1700"/>
            <w:shd w:fill="F2F2F2" w:val="clear"/>
          </w:tcPr>
          <w:p>
            <w:r>
              <w:rPr>
                <w:color w:val="444444"/>
                <w:sz w:val="20"/>
                <w:szCs w:val="20"/>
              </w:rPr>
              <w:t xml:space="preserve">34,553</w:t>
            </w:r>
          </w:p>
        </w:tc>
      </w:tr>
      <w:tr>
        <w:tc>
          <w:tcPr>
            <w:tcW w:type="dxa" w:w="2800"/>
            <w:shd w:fill="FFFFFF" w:val="clear"/>
          </w:tcPr>
          <w:p>
            <w:r>
              <w:rPr>
                <w:color w:val="444444"/>
                <w:sz w:val="20"/>
                <w:szCs w:val="20"/>
              </w:rPr>
              <w:t xml:space="preserve">Weighted avg</w:t>
            </w:r>
          </w:p>
        </w:tc>
        <w:tc>
          <w:tcPr>
            <w:tcW w:type="dxa" w:w="1600"/>
            <w:shd w:fill="FFFFFF" w:val="clear"/>
          </w:tcPr>
          <w:p>
            <w:r>
              <w:rPr>
                <w:color w:val="444444"/>
                <w:sz w:val="20"/>
                <w:szCs w:val="20"/>
              </w:rPr>
              <w:t xml:space="preserve">0.74</w:t>
            </w:r>
          </w:p>
        </w:tc>
        <w:tc>
          <w:tcPr>
            <w:tcW w:type="dxa" w:w="1600"/>
            <w:shd w:fill="FFFFFF" w:val="clear"/>
          </w:tcPr>
          <w:p>
            <w:r>
              <w:rPr>
                <w:color w:val="444444"/>
                <w:sz w:val="20"/>
                <w:szCs w:val="20"/>
              </w:rPr>
              <w:t xml:space="preserve">0.74</w:t>
            </w:r>
          </w:p>
        </w:tc>
        <w:tc>
          <w:tcPr>
            <w:tcW w:type="dxa" w:w="1600"/>
            <w:shd w:fill="FFFFFF" w:val="clear"/>
          </w:tcPr>
          <w:p>
            <w:r>
              <w:rPr>
                <w:color w:val="444444"/>
                <w:sz w:val="20"/>
                <w:szCs w:val="20"/>
              </w:rPr>
              <w:t xml:space="preserve">0.74</w:t>
            </w:r>
          </w:p>
        </w:tc>
        <w:tc>
          <w:tcPr>
            <w:tcW w:type="dxa" w:w="1700"/>
            <w:shd w:fill="FFFFFF" w:val="clear"/>
          </w:tcPr>
          <w:p>
            <w:r>
              <w:rPr>
                <w:color w:val="444444"/>
                <w:sz w:val="20"/>
                <w:szCs w:val="20"/>
              </w:rPr>
              <w:t xml:space="preserve">34,553</w:t>
            </w:r>
          </w:p>
        </w:tc>
      </w:tr>
    </w:tbl>
    <w:p>
      <w:pPr>
        <w:spacing w:after="160" w:line="300"/>
      </w:pPr>
      <w:r>
        <w:rPr>
          <w:color w:val="444444"/>
          <w:sz w:val="22"/>
          <w:szCs w:val="22"/>
        </w:rPr>
        <w:t xml:space="preserve">Business interpretation: The model correctly identifies 75% of orders that are genuinely at high risk of late delivery (recall for class 1), and when it flags an order as high-risk, it is correct 79% of the time (precision for class 1). This balance makes the model suitable for proactive interventions — such as prioritizing high-risk orders for expedited handling or customer communication — while keeping false alarms on low-risk orders at a manageable level (68% precision for class 0).</w:t>
      </w:r>
    </w:p>
    <w:p>
      <w:pPr>
        <w:pStyle w:val="Heading1"/>
        <w:pBdr>
          <w:bottom w:val="single" w:color="1F3864" w:sz="6" w:space="4"/>
        </w:pBdr>
        <w:spacing w:after="160" w:before="360"/>
      </w:pPr>
      <w:r>
        <w:rPr>
          <w:b/>
          <w:bCs/>
          <w:color w:val="1F3864"/>
          <w:sz w:val="30"/>
          <w:szCs w:val="30"/>
        </w:rPr>
        <w:t xml:space="preserve">10. Business Insights &amp; Recommendations</w:t>
      </w:r>
    </w:p>
    <w:p>
      <w:pPr>
        <w:pStyle w:val="ListParagraph"/>
        <w:numPr>
          <w:ilvl w:val="0"/>
          <w:numId w:val="2"/>
        </w:numPr>
        <w:spacing w:after="80"/>
      </w:pPr>
      <w:r>
        <w:rPr>
          <w:color w:val="444444"/>
          <w:sz w:val="22"/>
          <w:szCs w:val="22"/>
        </w:rPr>
        <w:t xml:space="preserve">Reduce delay-prone routes: With 54.7% of orders arriving late and 31% delayed by exactly one day, small scheduling or carrier-handoff improvements on the most common routes could meaningfully cut the late-delivery rate.</w:t>
      </w:r>
    </w:p>
    <w:p>
      <w:pPr>
        <w:pStyle w:val="ListParagraph"/>
        <w:numPr>
          <w:ilvl w:val="0"/>
          <w:numId w:val="2"/>
        </w:numPr>
        <w:spacing w:after="80"/>
      </w:pPr>
      <w:r>
        <w:rPr>
          <w:color w:val="444444"/>
          <w:sz w:val="22"/>
          <w:szCs w:val="22"/>
        </w:rPr>
        <w:t xml:space="preserve">Optimize shipping mode allocation: Standard Class accounts for the majority of shipments (103,153 orders); reviewing whether faster shipping modes should be used for high-value or delay-sensitive orders can reduce risk without a full-scale mode shift.</w:t>
      </w:r>
    </w:p>
    <w:p>
      <w:pPr>
        <w:pStyle w:val="ListParagraph"/>
        <w:numPr>
          <w:ilvl w:val="0"/>
          <w:numId w:val="2"/>
        </w:numPr>
        <w:spacing w:after="80"/>
      </w:pPr>
      <w:r>
        <w:rPr>
          <w:color w:val="444444"/>
          <w:sz w:val="22"/>
          <w:szCs w:val="22"/>
        </w:rPr>
        <w:t xml:space="preserve">Improve inventory and processing-time planning: Since Order Processing Time is a direct driver of Delay, tightening warehouse and fulfillment processing time is likely to have a direct effect on on-time delivery percentage.</w:t>
      </w:r>
    </w:p>
    <w:p>
      <w:pPr>
        <w:pStyle w:val="ListParagraph"/>
        <w:numPr>
          <w:ilvl w:val="0"/>
          <w:numId w:val="2"/>
        </w:numPr>
        <w:spacing w:after="80"/>
      </w:pPr>
      <w:r>
        <w:rPr>
          <w:color w:val="444444"/>
          <w:sz w:val="22"/>
          <w:szCs w:val="22"/>
        </w:rPr>
        <w:t xml:space="preserve">Monitor profitability alongside delivery performance: Although mean profit per order remains stable across delay levels, the ~$2.1M in profit tied to delayed orders represents at-risk revenue from potential returns, customer churn, and service costs not captured directly in the profit figure.</w:t>
      </w:r>
    </w:p>
    <w:p>
      <w:pPr>
        <w:pStyle w:val="ListParagraph"/>
        <w:numPr>
          <w:ilvl w:val="0"/>
          <w:numId w:val="2"/>
        </w:numPr>
        <w:spacing w:after="80"/>
      </w:pPr>
      <w:r>
        <w:rPr>
          <w:color w:val="444444"/>
          <w:sz w:val="22"/>
          <w:szCs w:val="22"/>
        </w:rPr>
        <w:t xml:space="preserve">Operationalize the predictive model: Integrate the Random Forest late-delivery-risk model into order-management workflows to flag high-risk orders at the time of order placement, enabling proactive customer communication or carrier upgrades.</w:t>
      </w:r>
    </w:p>
    <w:p>
      <w:pPr>
        <w:pStyle w:val="Heading1"/>
        <w:pBdr>
          <w:bottom w:val="single" w:color="1F3864" w:sz="6" w:space="4"/>
        </w:pBdr>
        <w:spacing w:after="160" w:before="360"/>
      </w:pPr>
      <w:r>
        <w:rPr>
          <w:b/>
          <w:bCs/>
          <w:color w:val="1F3864"/>
          <w:sz w:val="30"/>
          <w:szCs w:val="30"/>
        </w:rPr>
        <w:t xml:space="preserve">11. Conclusion</w:t>
      </w:r>
    </w:p>
    <w:p>
      <w:pPr>
        <w:spacing w:after="160" w:line="300"/>
      </w:pPr>
      <w:r>
        <w:rPr>
          <w:color w:val="444444"/>
          <w:sz w:val="22"/>
          <w:szCs w:val="22"/>
        </w:rPr>
        <w:t xml:space="preserve">This project delivered a complete pipeline — from data cleaning and exploratory analysis to feature engineering and predictive modeling — for understanding and addressing late delivery risk in a multi-region e-commerce supply chain. The analysis confirmed that late deliveries are widespread (54.7% of orders) and that delay levels, while not drastically reducing per-order profit margins, are associated with a large pool of at-risk profit (~$2.1M).</w:t>
      </w:r>
    </w:p>
    <w:p>
      <w:pPr>
        <w:spacing w:after="160" w:line="300"/>
      </w:pPr>
      <w:r>
        <w:rPr>
          <w:color w:val="444444"/>
          <w:sz w:val="22"/>
          <w:szCs w:val="22"/>
        </w:rPr>
        <w:t xml:space="preserve">The Random Forest Classifier, trained on SMOTE-balanced data with frequency-encoded categorical features, achieved solid predictive performance (74% accuracy, 79% precision, 75% recall on the high-risk class), demonstrating that operationally available features — shipping mode, scheduled shipment days, region, segment, and order timing — carry meaningful signal for anticipating late deliveries.</w:t>
      </w:r>
    </w:p>
    <w:p>
      <w:pPr>
        <w:spacing w:after="160" w:line="300"/>
      </w:pPr>
      <w:r>
        <w:rPr>
          <w:color w:val="444444"/>
          <w:sz w:val="22"/>
          <w:szCs w:val="22"/>
        </w:rPr>
        <w:t xml:space="preserve">Future enhancements could include testing gradient-boosted models (e.g., XGBoost or LightGBM) for potential accuracy gains, incorporating external factors such as carrier performance or weather data, performing hyperparameter tuning and cross-validation, and extending the profitability analysis to quantify indirect costs of delay such as customer churn and return rates.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888888"/>
        <w:sz w:val="16"/>
        <w:szCs w:val="16"/>
      </w:rPr>
      <w:t xml:space="preserve">Supply Chain Delivery Risk &amp; Profitability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4237a53519708341c952ddb3015702525e7a1a7.png"/><Relationship Id="rId10" Type="http://schemas.openxmlformats.org/officeDocument/2006/relationships/image" Target="media/f27e575b427424932ae51d720d816f1e2e4942e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2026-07-03T19:11:52.956Z</dcterms:created>
  <dcterms:modified xsi:type="dcterms:W3CDTF">2026-07-03T19:11:52.956Z</dcterms:modified>
</cp:coreProperties>
</file>

<file path=docProps/custom.xml><?xml version="1.0" encoding="utf-8"?>
<Properties xmlns="http://schemas.openxmlformats.org/officeDocument/2006/custom-properties" xmlns:vt="http://schemas.openxmlformats.org/officeDocument/2006/docPropsVTypes"/>
</file>