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246F" w14:textId="77777777" w:rsidR="00814849" w:rsidRDefault="00000000">
      <w:pPr>
        <w:pStyle w:val="papertitle"/>
      </w:pPr>
      <w:r>
        <w:t>Fault-Tolerant Financial Transcript Analysis with Lazy Model Orchestration Under CPU-Constrained Cloud Deployment</w:t>
      </w:r>
    </w:p>
    <w:p w14:paraId="2E7AA345" w14:textId="5F3AFC28" w:rsidR="00814849" w:rsidRDefault="00EA74EC" w:rsidP="00EA74EC">
      <w:pPr>
        <w:pStyle w:val="Author"/>
      </w:pPr>
      <w:r>
        <w:t>Sarosh Nadaf, Pushkar Shinde, Sidhesh Indalkar</w:t>
      </w:r>
    </w:p>
    <w:p w14:paraId="31D66BF4" w14:textId="7CE44D3C" w:rsidR="00814849" w:rsidRDefault="00EA74EC">
      <w:pPr>
        <w:pStyle w:val="Affiliation"/>
      </w:pPr>
      <w:r>
        <w:t>Vishwakarma University</w:t>
      </w:r>
    </w:p>
    <w:p w14:paraId="09F839F9" w14:textId="2C5AD6C0" w:rsidR="00814849" w:rsidRDefault="00EA74EC">
      <w:pPr>
        <w:pStyle w:val="Affiliation"/>
      </w:pPr>
      <w:r>
        <w:t>45sarosh@gmail.com</w:t>
      </w:r>
    </w:p>
    <w:p w14:paraId="12D4C021" w14:textId="77777777" w:rsidR="00814849" w:rsidRDefault="00000000">
      <w:pPr>
        <w:pStyle w:val="Affiliation"/>
      </w:pPr>
      <w:r>
        <w:t>______________________________________________________________________________________________________________</w:t>
      </w:r>
    </w:p>
    <w:p w14:paraId="06DB6E16" w14:textId="77777777" w:rsidR="00814849" w:rsidRDefault="00000000">
      <w:r>
        <w:rPr>
          <w:b/>
        </w:rPr>
        <w:t xml:space="preserve">Abstract - </w:t>
      </w:r>
      <w:r>
        <w:t>This paper presents a production-oriented financial transcript analysis system designed for constrained cloud deployment rather than benchmark-only model evaluation. The system processes earnings-call transcripts through a FastAPI backend that performs role-aware segmentation, segment-level FinBERT intent inference, conversation-level aggregation, and market-oriented prediction. Its principal contribution is a fault-tolerant inference architecture that preserves API availability under memory pressure, dependency instability, and fallback-model failures in a CPU-only Railway environment. The backend uses Hugging Face-hosted models for the primary intent classifier and a secondary PyTorch fallback model that is loaded lazily, guarded by a thread lock, protected by a timeout, and disabled permanently by a circuit breaker after failure. This design eliminates startup crashes and avoids repeated memory spikes associated with eager deserialization of large .pt artifacts. To stabilize deployment, the runtime is pinned to Python 3.11.9 with CPU-only PyTorch and compatible versions of Transformers, NumPy, and auxiliary libraries. Internal evaluation on a balanced sample of 240 transcripts shows that the proposed system achieves an accuracy of 0.8292 and a macro F1 score of 0.8303, compared with 0.5042 and 0.4524 for a FinBERT baseline. The results indicate that deployment-aware ML system design can yield both stronger practical robustness and improved transcript-level reasoning.</w:t>
      </w:r>
    </w:p>
    <w:p w14:paraId="2B1AE908" w14:textId="77777777" w:rsidR="00814849" w:rsidRDefault="00814849"/>
    <w:p w14:paraId="426AA3BC" w14:textId="77777777" w:rsidR="00814849" w:rsidRDefault="00000000">
      <w:r>
        <w:rPr>
          <w:b/>
        </w:rPr>
        <w:t xml:space="preserve">Index Terms - </w:t>
      </w:r>
      <w:r>
        <w:t>Financial NLP, FinBERT, fault-tolerant inference, FastAPI, lazy loading, Railway deployment</w:t>
      </w:r>
    </w:p>
    <w:p w14:paraId="1018363F" w14:textId="77777777" w:rsidR="00814849" w:rsidRDefault="00000000">
      <w:r>
        <w:t>______________________________________________________________________________________________________________</w:t>
      </w:r>
    </w:p>
    <w:p w14:paraId="0BE5C54A" w14:textId="77777777" w:rsidR="00814849" w:rsidRDefault="00814849"/>
    <w:p w14:paraId="08CE566B" w14:textId="77777777" w:rsidR="00814849" w:rsidRDefault="00000000">
      <w:pPr>
        <w:pStyle w:val="Heading1"/>
      </w:pPr>
      <w:r>
        <w:t>I. Introduction</w:t>
      </w:r>
    </w:p>
    <w:p w14:paraId="6ED5F2A0" w14:textId="77777777" w:rsidR="00814849" w:rsidRDefault="00000000">
      <w:pPr>
        <w:pStyle w:val="IEEEParagraph"/>
      </w:pPr>
      <w:r>
        <w:t>Financial transcript analysis is a demanding natural language processing task because it must convert long, speaker-rich earnings-call transcripts into structured insights suitable for downstream decision support. In this project, the system analyzes transcript text through an end-to-end pipeline that combines segmentation, intent classification, score aggregation, signal generation, volatility estimation, and market prediction. Unlike purely model-centric work, the central problem addressed here is operational reliability: the service must remain available in a CPU-only, memory-limited cloud environment where dependency conflicts and model-loading overhead can easily turn a functional model into an unstable production system.</w:t>
      </w:r>
    </w:p>
    <w:p w14:paraId="20C9E754" w14:textId="77777777" w:rsidR="00814849" w:rsidRDefault="00000000">
      <w:pPr>
        <w:pStyle w:val="IEEEParagraph"/>
      </w:pPr>
      <w:r>
        <w:t>The deployed service is built around a FastAPI backend exposing /analyze, /upload, and /compare. The primary inference path uses a Hugging Face-hosted FinBERT-based intent model, while a secondary PyTorch fallback model is retained to preserve functionality when the primary path or optional components fail. The system operates under Railway deployment constraints, where container size and startup stability matter as much as classification accuracy. To satisfy those constraints, the codebase uses CPU-only runtime pinning, lazy model loading, and explicit circuit-breaking behavior when fallback initialization fails.</w:t>
      </w:r>
    </w:p>
    <w:p w14:paraId="7CBC3716" w14:textId="77777777" w:rsidR="00814849" w:rsidRDefault="00000000">
      <w:pPr>
        <w:pStyle w:val="IEEEParagraph"/>
      </w:pPr>
      <w:r>
        <w:t>The contributions of this work are threefold. First, it introduces a multi-stage financial NLP pipeline that transforms transcript segments into intent labels, aggregate scores, and directional market signals. Second, it implements a fault-tolerant model-serving layer with thread-safe lazy initialization, timeout-guarded loading, and safe degradation so that API requests never crash even when fallback inference fails. Third, it demonstrates a deployment-aware engineering strategy for CPU-only cloud execution by moving model artifacts to Hugging Face and pinning the runtime dependency set to prevent the class of incompatibilities that previously caused startup failures and image-size blowups.</w:t>
      </w:r>
    </w:p>
    <w:p w14:paraId="5B9A4253" w14:textId="77777777" w:rsidR="00814849" w:rsidRDefault="00000000">
      <w:pPr>
        <w:pStyle w:val="Heading1"/>
      </w:pPr>
      <w:r>
        <w:t>II. Related Work</w:t>
      </w:r>
    </w:p>
    <w:p w14:paraId="47EF433E" w14:textId="77777777" w:rsidR="00814849" w:rsidRDefault="00000000">
      <w:pPr>
        <w:pStyle w:val="IEEEParagraph"/>
      </w:pPr>
      <w:r>
        <w:t>Transformer models established the foundation for modern language understanding by replacing recurrent sequence processing with self-attention mechanisms [3]. BERT further advanced this paradigm through bidirectional pretraining, enabling strong downstream performance across a range of NLP tasks [1]. In financial NLP, FinBERT adapted BERT-style representations to finance-specific language and showed that domain pretraining improves sentiment and contextual interpretation in financial documents [2].</w:t>
      </w:r>
    </w:p>
    <w:p w14:paraId="40F37A3D" w14:textId="77777777" w:rsidR="00814849" w:rsidRDefault="00000000">
      <w:pPr>
        <w:pStyle w:val="IEEEParagraph"/>
      </w:pPr>
      <w:r>
        <w:t>The present system differs from prior model-centric literature by focusing on production orchestration. Hugging Face provides the model distribution layer that enables pretrained checkpoints to be hosted and loaded programmatically across environments [4], [17]. PyTorch provides the serialization and runtime machinery required to serve custom fallback models, but its flexibility introduces memory and compatibility risks when large serialized objects are loaded on constrained hardware [5]. FastAPI supplies the lightweight asynchronous web layer that makes these models accessible as a service [6]. This work combines these technologies into a fault-tolerant serving pipeline that remains operational under failure conditions, which is a practical concern not addressed by many benchmark-driven studies.</w:t>
      </w:r>
    </w:p>
    <w:p w14:paraId="57A55265" w14:textId="77777777" w:rsidR="00814849" w:rsidRDefault="00000000">
      <w:pPr>
        <w:pStyle w:val="IEEEParagraph"/>
      </w:pPr>
      <w:r>
        <w:t xml:space="preserve">Broader work on pretrained language models further contextualizes the design space explored by this system. Large-scale few-shot models expanded the general-purpose capabilities of transformer-based NLP [7], while robust BERT variants such as RoBERTa, XLNet, and ELECTRA improved pretraining efficiency and representation quality [8], [9], [10]. Domain-adapted models such as BioBERT and LEGAL-BERT demonstrated that specialization to a professional corpus can significantly improve downstream </w:t>
      </w:r>
      <w:r>
        <w:lastRenderedPageBreak/>
        <w:t>performance [11], [13]. Long-document and sequence-to-sequence architectures such as Longformer and BART further extended transformer utility for extended-context processing and generative settings [12], [14]. Related representation learning approaches including Sentence-BERT and ULMFiT also informed practical strategies for downstream adaptation and semantic modeling [15], [16].</w:t>
      </w:r>
    </w:p>
    <w:p w14:paraId="7C56DD88" w14:textId="77777777" w:rsidR="00814849" w:rsidRDefault="00000000">
      <w:pPr>
        <w:pStyle w:val="Heading1"/>
      </w:pPr>
      <w:r>
        <w:t>III. System Architecture</w:t>
      </w:r>
    </w:p>
    <w:p w14:paraId="2B7D9960" w14:textId="77777777" w:rsidR="00814849" w:rsidRDefault="00000000">
      <w:pPr>
        <w:pStyle w:val="IEEEParagraph"/>
      </w:pPr>
      <w:r>
        <w:t>The system architecture centers on a FastAPI backend that accepts transcript text or uploaded files and returns a structured analysis payload. The active backend entrypoint is backend/api/server.py, which exposes the /analyze, /upload, and /compare routes. The backend is stateless in its current design, and CORS is enabled for development use. The primary data flow begins with transcript ingestion, continues through segmentation and intent inference, and ends with aggregation into score, signal, confidence, volatility, prediction, and driver fields.</w:t>
      </w:r>
    </w:p>
    <w:p w14:paraId="0C71D22B" w14:textId="77777777" w:rsidR="00814849" w:rsidRDefault="00000000">
      <w:pPr>
        <w:pStyle w:val="IEEEParagraph"/>
      </w:pPr>
      <w:r>
        <w:t>The first model layer is the TranscriptAnalyzer, which produces a list of transcript segments. It uses speaker-aware parsing when cues such as CEO:, CFO:, ANALYST:, or OPERATOR: are present and falls back to sentence chunking when structured speaker markers are absent. Each segment is sent to the intent model, which is a Hugging Face-hosted four-class FinBERT sequence classifier. The intent output is then consumed by the signal engine, which maps segment intents to numeric scores and derives a transcript-level signal. A market predictor converts that signal and its support statistics into a directional forecast and explanation. A separate insight layer extracts growth and risk drivers from the transcript text. The response returned by /analyze includes score, signal, prediction, confidence, volatility, intent_distribution, growth_drivers, risk_drivers, timeline, and fallback_used.</w:t>
      </w:r>
    </w:p>
    <w:p w14:paraId="05986A61" w14:textId="77777777" w:rsidR="00814849" w:rsidRDefault="00000000">
      <w:pPr>
        <w:pStyle w:val="IEEEParagraph"/>
      </w:pPr>
      <w:r>
        <w:t>A critical architectural feature is the fallback model orchestration. If the FinBERT path fails, the analyzer can load a secondary PyTorch transformer from a Hugging Face-hosted .pt artifact. That fallback is not loaded at startup. Instead, it is loaded lazily under a thread-safe lock, with a strict timeout and a process-level circuit breaker. This design ensures that model failures remain localized and do not crash the entire API process.</w:t>
      </w:r>
    </w:p>
    <w:p w14:paraId="4335CBE7" w14:textId="115658B5" w:rsidR="00814849" w:rsidRDefault="00EA74EC">
      <w:r w:rsidRPr="00EA74EC">
        <w:rPr>
          <w:noProof/>
        </w:rPr>
        <w:drawing>
          <wp:inline distT="0" distB="0" distL="0" distR="0" wp14:anchorId="3C56B89E" wp14:editId="18A0F78B">
            <wp:extent cx="3904149" cy="2235200"/>
            <wp:effectExtent l="0" t="0" r="0" b="0"/>
            <wp:docPr id="16021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5979" name=""/>
                    <pic:cNvPicPr/>
                  </pic:nvPicPr>
                  <pic:blipFill>
                    <a:blip r:embed="rId8"/>
                    <a:stretch>
                      <a:fillRect/>
                    </a:stretch>
                  </pic:blipFill>
                  <pic:spPr>
                    <a:xfrm>
                      <a:off x="0" y="0"/>
                      <a:ext cx="3921298" cy="2245018"/>
                    </a:xfrm>
                    <a:prstGeom prst="rect">
                      <a:avLst/>
                    </a:prstGeom>
                  </pic:spPr>
                </pic:pic>
              </a:graphicData>
            </a:graphic>
          </wp:inline>
        </w:drawing>
      </w:r>
    </w:p>
    <w:p w14:paraId="01DC2D65" w14:textId="77777777" w:rsidR="00814849" w:rsidRDefault="00000000">
      <w:r>
        <w:t>Figure 1. End-to-end system architecture showing transcript ingestion, segmentation, intent prediction, aggregation, and API response generation.</w:t>
      </w:r>
    </w:p>
    <w:p w14:paraId="76C63250" w14:textId="77777777" w:rsidR="00814849" w:rsidRDefault="00000000">
      <w:pPr>
        <w:pStyle w:val="Heading1"/>
      </w:pPr>
      <w:r>
        <w:t>IV. Methodology</w:t>
      </w:r>
    </w:p>
    <w:p w14:paraId="2C8510DD" w14:textId="77777777" w:rsidR="00814849" w:rsidRDefault="00000000">
      <w:pPr>
        <w:pStyle w:val="IEEEHeading2"/>
      </w:pPr>
      <w:r>
        <w:t>A. Transcript Segmentation</w:t>
      </w:r>
    </w:p>
    <w:p w14:paraId="07E4CAFA" w14:textId="77777777" w:rsidR="00814849" w:rsidRDefault="00000000">
      <w:pPr>
        <w:pStyle w:val="IEEEParagraph"/>
      </w:pPr>
      <w:r>
        <w:t>The input transcript is first normalized and segmented so that the model does not treat an entire earnings call as a single atomic document. Speaker-aware parsing is preferred because earnings calls are structured around management and analyst turns, and these turns often carry distinct financial semantics. When explicit speaker labels are absent, the system falls back to sentence-based chunking and dynamic regrouping so that transcripts still produce multiple segments. This segmentation stage is essential because the downstream scoring logic depends on variation across segment-level intents.</w:t>
      </w:r>
    </w:p>
    <w:p w14:paraId="6F4B8061" w14:textId="77777777" w:rsidR="00814849" w:rsidRDefault="00000000">
      <w:pPr>
        <w:pStyle w:val="IEEEHeading2"/>
      </w:pPr>
      <w:r>
        <w:t>B. Intent Prediction</w:t>
      </w:r>
    </w:p>
    <w:p w14:paraId="3E8905D8" w14:textId="77777777" w:rsidR="00814849" w:rsidRDefault="00000000">
      <w:pPr>
        <w:pStyle w:val="IEEEParagraph"/>
      </w:pPr>
      <w:r>
        <w:t>Each segment is classified into one of four intents: EXPANSION, COST_PRESSURE, STRATEGIC_PROBING, or GENERAL_UPDATE. The primary classifier is a FinBERT-based sequence classifier loaded from a Hugging Face repository. The model returns logits, confidence, and a CLS embedding. The intent label is then mapped into a financial interpretation that the aggregation layer can consume. This design is intentionally pragmatic: it uses domain-specialized language understanding but keeps the output space small enough to support robust aggregation and explanation.</w:t>
      </w:r>
    </w:p>
    <w:p w14:paraId="29B20C02" w14:textId="77777777" w:rsidR="00814849" w:rsidRDefault="00000000">
      <w:pPr>
        <w:pStyle w:val="IEEEHeading2"/>
      </w:pPr>
      <w:r>
        <w:t>C. Score Aggregation</w:t>
      </w:r>
    </w:p>
    <w:p w14:paraId="2E8368B7" w14:textId="77777777" w:rsidR="00814849" w:rsidRDefault="00000000">
      <w:pPr>
        <w:pStyle w:val="IEEEParagraph"/>
      </w:pPr>
      <w:r>
        <w:t>Let y_i denote the intent assigned to segment i, and let w(.) denote the intent weight mapping. The current mapping is w(EXPANSION) = +1.0, w(COST_PRESSURE) = -1.0, w(STRATEGIC_PROBING) = +0.2, and w(GENERAL_UPDATE) = 0.0. For a transcript with N segments, the aggregate score is computed as s = (1/N) sum from i=1 to N of w(y_i). The final signal is obtained by thresholding the aggregate score as growth if s &gt; 0.2, risk if s &lt; -0.2, and neutral otherwise. Confidence is derived from the dominant signal share, while volatility is estimated from the dispersion of mapped segment values. This rule-based aggregation provides transparency and makes the transcript-level decision easier to interpret than a monolithic classifier would.</w:t>
      </w:r>
    </w:p>
    <w:p w14:paraId="025512F8" w14:textId="77777777" w:rsidR="00814849" w:rsidRDefault="00000000">
      <w:pPr>
        <w:pStyle w:val="IEEEHeading2"/>
      </w:pPr>
      <w:r>
        <w:t>D. Market Prediction and Driver Extraction</w:t>
      </w:r>
    </w:p>
    <w:p w14:paraId="14C56972" w14:textId="77777777" w:rsidR="00814849" w:rsidRDefault="00000000">
      <w:pPr>
        <w:pStyle w:val="IEEEParagraph"/>
      </w:pPr>
      <w:r>
        <w:t xml:space="preserve">The final signal, score, volatility, and intent distribution are passed to a market predictor that generates a directional outcome and a short explanation. In parallel, the insight layer extracts representative growth and risk drivers by compressing candidate sentences, </w:t>
      </w:r>
      <w:r>
        <w:lastRenderedPageBreak/>
        <w:t>deduplicating them semantically, and retaining only high-quality spans. This produces a compact driver set that can be surfaced directly in the API response and frontend UI.</w:t>
      </w:r>
    </w:p>
    <w:p w14:paraId="746AFA7A" w14:textId="77777777" w:rsidR="00814849" w:rsidRDefault="00000000">
      <w:pPr>
        <w:pStyle w:val="IEEEHeading2"/>
      </w:pPr>
      <w:r>
        <w:t>E. Fault-Tolerant Fallback Orchestration</w:t>
      </w:r>
    </w:p>
    <w:p w14:paraId="471816C7" w14:textId="77777777" w:rsidR="00814849" w:rsidRDefault="00000000">
      <w:pPr>
        <w:pStyle w:val="IEEEParagraph"/>
      </w:pPr>
      <w:r>
        <w:t>The fallback PyTorch model is loaded only when needed. The loader executes on CPU, uses best-effort memory-friendly deserialization options, and is guarded by a lock so that only one request can attempt initialization at a time. A timeout prevents request threads from waiting indefinitely. If loading fails or times out, the circuit breaker permanently disables further attempts for the current process. This policy intentionally favors service continuity over fallback completeness. The API therefore continues returning responses even when the fallback path is unavailable.</w:t>
      </w:r>
    </w:p>
    <w:p w14:paraId="022E9EE6" w14:textId="7F56DF7B" w:rsidR="00814849" w:rsidRDefault="00EA74EC">
      <w:r w:rsidRPr="00EA74EC">
        <w:rPr>
          <w:noProof/>
        </w:rPr>
        <w:drawing>
          <wp:inline distT="0" distB="0" distL="0" distR="0" wp14:anchorId="65B4D9EF" wp14:editId="05BDC03A">
            <wp:extent cx="2881746" cy="2387732"/>
            <wp:effectExtent l="0" t="0" r="0" b="0"/>
            <wp:docPr id="195550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9053" name=""/>
                    <pic:cNvPicPr/>
                  </pic:nvPicPr>
                  <pic:blipFill>
                    <a:blip r:embed="rId9"/>
                    <a:stretch>
                      <a:fillRect/>
                    </a:stretch>
                  </pic:blipFill>
                  <pic:spPr>
                    <a:xfrm>
                      <a:off x="0" y="0"/>
                      <a:ext cx="2885725" cy="2391029"/>
                    </a:xfrm>
                    <a:prstGeom prst="rect">
                      <a:avLst/>
                    </a:prstGeom>
                  </pic:spPr>
                </pic:pic>
              </a:graphicData>
            </a:graphic>
          </wp:inline>
        </w:drawing>
      </w:r>
    </w:p>
    <w:p w14:paraId="51927F6C" w14:textId="77777777" w:rsidR="00814849" w:rsidRDefault="00000000">
      <w:r>
        <w:t>Figure 2. Fallback orchestration flow showing primary inference, lazy fallback loading, timeout handling, circuit breaker activation, and graceful degradation.</w:t>
      </w:r>
    </w:p>
    <w:p w14:paraId="7C2F2FF8" w14:textId="77777777" w:rsidR="00814849" w:rsidRDefault="00000000">
      <w:pPr>
        <w:pStyle w:val="Heading1"/>
      </w:pPr>
      <w:r>
        <w:t>V. Deployment and Optimization</w:t>
      </w:r>
    </w:p>
    <w:p w14:paraId="395036DA" w14:textId="77777777" w:rsidR="00814849" w:rsidRDefault="00000000">
      <w:pPr>
        <w:pStyle w:val="IEEEParagraph"/>
      </w:pPr>
      <w:r>
        <w:t>The system is deployed on Railway using a CPU-only configuration. This deployment choice shaped the entire runtime strategy. A GPU-enabled PyTorch package would have increased image size substantially and risked exceeding deployment limits, so the runtime is pinned to a CPU-only wheel. The repository also includes a Python runtime pin of 3.11.9 to reduce interpreter drift.</w:t>
      </w:r>
    </w:p>
    <w:p w14:paraId="5555297A" w14:textId="77777777" w:rsidR="00814849" w:rsidRDefault="00000000">
      <w:pPr>
        <w:pStyle w:val="IEEEParagraph"/>
      </w:pPr>
      <w:r>
        <w:t>The current backend dependency set is intentionally minimal and stable. PyTorch is pinned to a CPU-only build, Transformers is pinned to a version compatible with that Torch release, NumPy is constrained below version 2 to avoid ABI issues, and auxiliary packages such as Pandas, Datasets, python-multipart, pdfplumber, and protobuf are pinned to versions observed to be compatible with the current runtime. This pinning strategy prevents resolver drift and the cascading import failures previously observed in deployment.</w:t>
      </w:r>
    </w:p>
    <w:p w14:paraId="3F2516D2" w14:textId="77777777" w:rsidR="00814849" w:rsidRDefault="00000000">
      <w:pPr>
        <w:pStyle w:val="IEEEParagraph"/>
      </w:pPr>
      <w:r>
        <w:t>The model artifacts themselves were migrated away from repository storage and are now hosted on Hugging Face. This decision was necessary because local GitHub storage and bandwidth constraints made it impractical to keep large model binaries in the repository. As a result, runtime code downloads checkpoints on demand rather than shipping them inside the application image. The primary intent model is loaded from a Hugging Face repository, and the fallback .pt artifact is also fetched from Hugging Face when required. This separation keeps the deployment image small while preserving functionality.</w:t>
      </w:r>
    </w:p>
    <w:p w14:paraId="0CE9468A" w14:textId="77777777" w:rsidR="00814849" w:rsidRDefault="00000000">
      <w:pPr>
        <w:pStyle w:val="IEEEParagraph"/>
      </w:pPr>
      <w:r>
        <w:t>The most important deployment optimization is the removal of eager fallback loading. A fallback .pt file can temporarily double memory usage during deserialization and trigger Railway container restarts if loaded at startup. By moving the fallback to lazy loading with timeout and circuit breaker protection, the system avoids startup crashes and keeps /analyze available even under resource pressure. In practice, this is the difference between a fragile prototype and a service that can survive production traffic.</w:t>
      </w:r>
    </w:p>
    <w:p w14:paraId="6C43E436" w14:textId="77777777" w:rsidR="00814849" w:rsidRDefault="00000000">
      <w:pPr>
        <w:pStyle w:val="Heading1"/>
      </w:pPr>
      <w:r>
        <w:t>VI. Results and Evaluation</w:t>
      </w:r>
    </w:p>
    <w:p w14:paraId="0396E1C8" w14:textId="77777777" w:rsidR="00814849" w:rsidRDefault="00000000">
      <w:pPr>
        <w:pStyle w:val="IEEEParagraph"/>
      </w:pPr>
      <w:r>
        <w:t>Evaluation is implemented in backend/financial_pragmatic_ai/evaluation/better_than_fin/evaluate.py and runs on a balanced sample built from pragmatic_intent_dataset_clean.csv. The latest saved benchmark uses 240 transcripts total, with 80 examples per signal class. The comparison is between a FinBERT sentiment baseline and the proposed multi-stage system.</w:t>
      </w:r>
    </w:p>
    <w:p w14:paraId="4E607A5D" w14:textId="77777777" w:rsidR="00814849" w:rsidRDefault="00000000">
      <w:pPr>
        <w:pStyle w:val="IEEEParagraph"/>
      </w:pPr>
      <w:r>
        <w:t>The proposed system improves accuracy by 32.50 percentage points and macro F1 by 37.79 percentage points relative to the FinBERT baseline. This improvement is not solely attributable to the classifier, but to the system-level reasoning pipeline that maps segment intents into financial signals and then into market predictions. The baseline directly predicts polarity-like output, while the proposed system uses transcript structure, speaker-aware segmentation, and intent aggregation to extract more aligned financial meaning.</w:t>
      </w:r>
    </w:p>
    <w:p w14:paraId="66433147" w14:textId="77777777" w:rsidR="00814849" w:rsidRDefault="00000000">
      <w:pPr>
        <w:pStyle w:val="IEEEParagraph"/>
      </w:pPr>
      <w:r>
        <w:t>The prediction distribution also indicates better class utilization. In the latest evaluation, the FinBERT baseline produced neutral: 120, growth: 102, and risk: 18, whereas the proposed system produced growth: 61, risk: 67, and neutral: 112. The custom system therefore shows stronger sensitivity to risk language than the baseline and avoids the extreme collapse toward a single class that was observed earlier in development. This behavior is consistent with the explicit intent-to-signal mapping and aggregation thresholds currently used in the codebase.</w:t>
      </w:r>
    </w:p>
    <w:p w14:paraId="3AC6556C" w14:textId="77777777" w:rsidR="00814849" w:rsidRDefault="00000000">
      <w:pPr>
        <w:pStyle w:val="IEEEParagraph"/>
      </w:pPr>
      <w:r>
        <w:t>From a deployment standpoint, the system also behaves more robustly under failure. Fallback loading failures do not crash the API, and the response path includes a fallback_used indicator for observability. Startup succeeds without loading all model artifacts into memory, and the service remains responsive under CPU-only constraints. These properties are not captured by accuracy alone but are essential to the real-world value of the system.</w:t>
      </w:r>
    </w:p>
    <w:tbl>
      <w:tblPr>
        <w:tblW w:w="0" w:type="auto"/>
        <w:jc w:val="center"/>
        <w:tblLook w:val="04A0" w:firstRow="1" w:lastRow="0" w:firstColumn="1" w:lastColumn="0" w:noHBand="0" w:noVBand="1"/>
      </w:tblPr>
      <w:tblGrid>
        <w:gridCol w:w="3591"/>
        <w:gridCol w:w="3591"/>
        <w:gridCol w:w="3591"/>
      </w:tblGrid>
      <w:tr w:rsidR="00814849" w14:paraId="73F79017" w14:textId="77777777">
        <w:trPr>
          <w:jc w:val="center"/>
        </w:trPr>
        <w:tc>
          <w:tcPr>
            <w:tcW w:w="3591" w:type="dxa"/>
          </w:tcPr>
          <w:p w14:paraId="65C7E7E6" w14:textId="77777777" w:rsidR="00814849" w:rsidRDefault="00000000">
            <w:r>
              <w:rPr>
                <w:b/>
              </w:rPr>
              <w:t>Model</w:t>
            </w:r>
          </w:p>
        </w:tc>
        <w:tc>
          <w:tcPr>
            <w:tcW w:w="3591" w:type="dxa"/>
          </w:tcPr>
          <w:p w14:paraId="41185053" w14:textId="77777777" w:rsidR="00814849" w:rsidRDefault="00000000">
            <w:r>
              <w:rPr>
                <w:b/>
              </w:rPr>
              <w:t>Accuracy</w:t>
            </w:r>
          </w:p>
        </w:tc>
        <w:tc>
          <w:tcPr>
            <w:tcW w:w="3591" w:type="dxa"/>
          </w:tcPr>
          <w:p w14:paraId="5CCE5DF6" w14:textId="77777777" w:rsidR="00814849" w:rsidRDefault="00000000">
            <w:r>
              <w:rPr>
                <w:b/>
              </w:rPr>
              <w:t>Macro F1</w:t>
            </w:r>
          </w:p>
        </w:tc>
      </w:tr>
      <w:tr w:rsidR="00814849" w14:paraId="784E8710" w14:textId="77777777">
        <w:trPr>
          <w:jc w:val="center"/>
        </w:trPr>
        <w:tc>
          <w:tcPr>
            <w:tcW w:w="3591" w:type="dxa"/>
          </w:tcPr>
          <w:p w14:paraId="7B5FA781" w14:textId="77777777" w:rsidR="00814849" w:rsidRDefault="00000000">
            <w:r>
              <w:t>FinBERT baseline</w:t>
            </w:r>
          </w:p>
        </w:tc>
        <w:tc>
          <w:tcPr>
            <w:tcW w:w="3591" w:type="dxa"/>
          </w:tcPr>
          <w:p w14:paraId="1FAA084F" w14:textId="77777777" w:rsidR="00814849" w:rsidRDefault="00000000">
            <w:r>
              <w:t>0.5042</w:t>
            </w:r>
          </w:p>
        </w:tc>
        <w:tc>
          <w:tcPr>
            <w:tcW w:w="3591" w:type="dxa"/>
          </w:tcPr>
          <w:p w14:paraId="590D8FB2" w14:textId="77777777" w:rsidR="00814849" w:rsidRDefault="00000000">
            <w:r>
              <w:t>0.4524</w:t>
            </w:r>
          </w:p>
        </w:tc>
      </w:tr>
      <w:tr w:rsidR="00814849" w14:paraId="11E9F791" w14:textId="77777777">
        <w:trPr>
          <w:jc w:val="center"/>
        </w:trPr>
        <w:tc>
          <w:tcPr>
            <w:tcW w:w="3591" w:type="dxa"/>
          </w:tcPr>
          <w:p w14:paraId="77A06420" w14:textId="77777777" w:rsidR="00814849" w:rsidRDefault="00000000">
            <w:r>
              <w:t>Proposed system</w:t>
            </w:r>
          </w:p>
        </w:tc>
        <w:tc>
          <w:tcPr>
            <w:tcW w:w="3591" w:type="dxa"/>
          </w:tcPr>
          <w:p w14:paraId="5F2E0E71" w14:textId="77777777" w:rsidR="00814849" w:rsidRDefault="00000000">
            <w:r>
              <w:t>0.8292</w:t>
            </w:r>
          </w:p>
        </w:tc>
        <w:tc>
          <w:tcPr>
            <w:tcW w:w="3591" w:type="dxa"/>
          </w:tcPr>
          <w:p w14:paraId="04ECF7C5" w14:textId="77777777" w:rsidR="00814849" w:rsidRDefault="00000000">
            <w:r>
              <w:t>0.8303</w:t>
            </w:r>
          </w:p>
        </w:tc>
      </w:tr>
    </w:tbl>
    <w:p w14:paraId="57CB3597" w14:textId="77777777" w:rsidR="00814849" w:rsidRDefault="00000000">
      <w:r>
        <w:lastRenderedPageBreak/>
        <w:t>Table 1. Latest Internal Evaluation Results on Balanced Sample (N = 240)</w:t>
      </w:r>
    </w:p>
    <w:p w14:paraId="29D3B960" w14:textId="77777777" w:rsidR="00814849" w:rsidRDefault="00000000" w:rsidP="00EA74EC">
      <w:r>
        <w:rPr>
          <w:noProof/>
        </w:rPr>
        <w:drawing>
          <wp:inline distT="0" distB="0" distL="0" distR="0" wp14:anchorId="7CF4361D" wp14:editId="6C4D11A2">
            <wp:extent cx="7169276" cy="403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metrics_panel.png"/>
                    <pic:cNvPicPr/>
                  </pic:nvPicPr>
                  <pic:blipFill>
                    <a:blip r:embed="rId10"/>
                    <a:stretch>
                      <a:fillRect/>
                    </a:stretch>
                  </pic:blipFill>
                  <pic:spPr>
                    <a:xfrm>
                      <a:off x="0" y="0"/>
                      <a:ext cx="7253367" cy="4085970"/>
                    </a:xfrm>
                    <a:prstGeom prst="rect">
                      <a:avLst/>
                    </a:prstGeom>
                  </pic:spPr>
                </pic:pic>
              </a:graphicData>
            </a:graphic>
          </wp:inline>
        </w:drawing>
      </w:r>
    </w:p>
    <w:p w14:paraId="3A7B5158" w14:textId="77777777" w:rsidR="00814849" w:rsidRDefault="00000000">
      <w:r>
        <w:t>Figure 3. Evaluation metric diagrams for the FinBERT baseline and the proposed system.</w:t>
      </w:r>
    </w:p>
    <w:p w14:paraId="27EC8306" w14:textId="77777777" w:rsidR="00814849" w:rsidRDefault="00000000">
      <w:pPr>
        <w:pStyle w:val="Heading1"/>
      </w:pPr>
      <w:r>
        <w:t>VII. Discussion</w:t>
      </w:r>
    </w:p>
    <w:p w14:paraId="376B3FCB" w14:textId="77777777" w:rsidR="00814849" w:rsidRDefault="00000000">
      <w:pPr>
        <w:pStyle w:val="IEEEParagraph"/>
      </w:pPr>
      <w:r>
        <w:t>The principal result of this project is that production reliability and ML quality are not separate concerns. The evaluation metrics show that the system can outperform a FinBERT baseline on the internal benchmark, but the more important engineering achievement is that the service remains available when model artifacts fail to load, when optional components are absent, and when container memory is limited. The fallback architecture is therefore a first-class contribution rather than a defensive afterthought.</w:t>
      </w:r>
    </w:p>
    <w:p w14:paraId="287B1495" w14:textId="77777777" w:rsidR="00814849" w:rsidRDefault="00000000">
      <w:pPr>
        <w:pStyle w:val="IEEEParagraph"/>
      </w:pPr>
      <w:r>
        <w:t>The system also illustrates the tradeoff between model flexibility and operational safety. PyTorch serialization is powerful, but it can be dangerous in memory-constrained environments because loading a model can temporarily require substantially more memory than the final in-memory footprint. The thread-safe lazy loader and circuit breaker address this directly. The design does not attempt to recover endlessly from failure; it disables unstable behavior and keeps the request path healthy. That is the correct choice for a public-facing inference service.</w:t>
      </w:r>
    </w:p>
    <w:p w14:paraId="14D156B2" w14:textId="77777777" w:rsidR="00814849" w:rsidRDefault="00000000">
      <w:pPr>
        <w:pStyle w:val="IEEEParagraph"/>
      </w:pPr>
      <w:r>
        <w:t>There remain limitations. The current evaluation is an internal benchmark and should not be interpreted as final generalization performance because the dataset lineage and the train/eval split strategy warrant further scrutiny. The current codebase also retains some verbose debug logging and still contains a few threshold inconsistencies in higher-level insight logic. In addition, the optional conversation-attention path is present in the architecture but is not always backed by a local weight file, which means the system can still degrade to rule-based aggregation in some deployments. Future work should focus on external validation, stricter data separation, and a more unified thresholding policy across signal and insight modules.</w:t>
      </w:r>
    </w:p>
    <w:p w14:paraId="3DF7B7D7" w14:textId="77777777" w:rsidR="00814849" w:rsidRDefault="00000000">
      <w:pPr>
        <w:pStyle w:val="Heading1"/>
      </w:pPr>
      <w:r>
        <w:t>VIII. Conclusion</w:t>
      </w:r>
    </w:p>
    <w:p w14:paraId="63549064" w14:textId="77777777" w:rsidR="00814849" w:rsidRDefault="00000000">
      <w:pPr>
        <w:pStyle w:val="IEEEParagraph"/>
      </w:pPr>
      <w:r>
        <w:t>This paper presented a practical financial NLP system for earnings-call analysis that emphasizes reliability, observability, and deployment stability in addition to predictive accuracy. The system combines FastAPI serving, Hugging Face-hosted FinBERT inference, lazy fallback orchestration, and a multi-stage transcript reasoning pipeline to produce structured market signals from raw transcript text. Its core contribution is a fault-tolerant serving architecture that uses CPU-only deployment, thread-safe lazy loading, timeout protection, and a circuit breaker to ensure that the API never crashes even when fallback model loading fails. Internal evaluation shows that the proposed system significantly outperforms a FinBERT baseline on accuracy and macro F1, while also providing more balanced signal behavior and better practical robustness. The result is a deployment-aware ML system that is appropriate for resource-constrained cloud environments and that demonstrates how engineering rigor can materially improve the usefulness of financial NLP models.</w:t>
      </w:r>
    </w:p>
    <w:p w14:paraId="3E342BA3" w14:textId="77777777" w:rsidR="00814849" w:rsidRDefault="00000000">
      <w:pPr>
        <w:pStyle w:val="Heading1"/>
      </w:pPr>
      <w:r>
        <w:t>References</w:t>
      </w:r>
    </w:p>
    <w:p w14:paraId="727AE7D9" w14:textId="77777777" w:rsidR="00814849" w:rsidRDefault="00000000">
      <w:r>
        <w:t>[1] J. Devlin, M.-W. Chang, K. Lee, and K. Toutanova, "BERT: Pre-training of Deep Bidirectional Transformers for Language Understanding," in Proc. NAACL-HLT, 2019, pp. 4171-4186.</w:t>
      </w:r>
    </w:p>
    <w:p w14:paraId="701D75A7" w14:textId="77777777" w:rsidR="00814849" w:rsidRDefault="00000000">
      <w:r>
        <w:t>[2] D. Araci, "FinBERT: Financial Sentiment Analysis with Pre-trained Language Models," arXiv:1908.10063, 2019.</w:t>
      </w:r>
    </w:p>
    <w:p w14:paraId="3537713E" w14:textId="77777777" w:rsidR="00814849" w:rsidRDefault="00000000">
      <w:r>
        <w:t>[3] A. Vaswani et al., "Attention Is All You Need," in Advances in Neural Information Processing Systems, vol. 30, 2017.</w:t>
      </w:r>
    </w:p>
    <w:p w14:paraId="2B002ED1" w14:textId="77777777" w:rsidR="00814849" w:rsidRDefault="00000000">
      <w:r>
        <w:t>[4] Hugging Face, "Transformers Documentation," 2026. [Online]. Available: https://huggingface.co/docs/transformers</w:t>
      </w:r>
    </w:p>
    <w:p w14:paraId="4110D2DB" w14:textId="77777777" w:rsidR="00814849" w:rsidRDefault="00000000">
      <w:r>
        <w:t>[5] PyTorch, "PyTorch Documentation," 2026. [Online]. Available: https://pytorch.org/docs/stable/index.html</w:t>
      </w:r>
    </w:p>
    <w:p w14:paraId="3D75E79C" w14:textId="77777777" w:rsidR="00814849" w:rsidRDefault="00000000">
      <w:r>
        <w:t>[6] FastAPI, "FastAPI Documentation," 2026. [Online]. Available: https://fastapi.tiangolo.com/</w:t>
      </w:r>
    </w:p>
    <w:p w14:paraId="6F433385" w14:textId="77777777" w:rsidR="00814849" w:rsidRDefault="00000000">
      <w:r>
        <w:t>[7] T. Brown et al., "Language Models are Few-Shot Learners," NeurIPS, 2020.</w:t>
      </w:r>
    </w:p>
    <w:p w14:paraId="001C6C15" w14:textId="77777777" w:rsidR="00814849" w:rsidRDefault="00000000">
      <w:r>
        <w:lastRenderedPageBreak/>
        <w:t>[8] Y. Liu et al., "RoBERTa: A Robustly Optimized BERT Pretraining Approach," arXiv:1907.11692, 2019.</w:t>
      </w:r>
    </w:p>
    <w:p w14:paraId="5D6B115B" w14:textId="77777777" w:rsidR="00814849" w:rsidRDefault="00000000">
      <w:r>
        <w:t>[9] Z. Yang et al., "XLNet: Generalized Autoregressive Pretraining," NeurIPS, 2019.</w:t>
      </w:r>
    </w:p>
    <w:p w14:paraId="6F85C4F2" w14:textId="77777777" w:rsidR="00814849" w:rsidRDefault="00000000">
      <w:r>
        <w:t>[10] K. Clark et al., "ELECTRA: Pre-training Text Encoders as Discriminators," ICLR, 2020.</w:t>
      </w:r>
    </w:p>
    <w:p w14:paraId="79E16DEC" w14:textId="77777777" w:rsidR="00814849" w:rsidRDefault="00000000">
      <w:r>
        <w:t>[11] J. Lee et al., "BioBERT: a pre-trained biomedical language model," Bioinformatics, 2020.</w:t>
      </w:r>
    </w:p>
    <w:p w14:paraId="5842FA3B" w14:textId="77777777" w:rsidR="00814849" w:rsidRDefault="00000000">
      <w:r>
        <w:t>[12] A. Beltagy et al., "Longformer: The Long-Document Transformer," arXiv:2004.05150, 2020.</w:t>
      </w:r>
    </w:p>
    <w:p w14:paraId="1C86A13F" w14:textId="77777777" w:rsidR="00814849" w:rsidRDefault="00000000">
      <w:r>
        <w:t>[13] I. Chalkidis et al., "LEGAL-BERT: The Muppets straight out of Law School," EMNLP, 2020.</w:t>
      </w:r>
    </w:p>
    <w:p w14:paraId="73E4B25E" w14:textId="77777777" w:rsidR="00814849" w:rsidRDefault="00000000">
      <w:r>
        <w:t>[14] M. Lewis et al., "BART: Denoising Sequence-to-Sequence Pre-training," ACL, 2020.</w:t>
      </w:r>
    </w:p>
    <w:p w14:paraId="279BC11A" w14:textId="77777777" w:rsidR="00814849" w:rsidRDefault="00000000">
      <w:r>
        <w:t>[15] N. Reimers and I. Gurevych, "Sentence-BERT," EMNLP, 2019.</w:t>
      </w:r>
    </w:p>
    <w:p w14:paraId="1D4BCD27" w14:textId="77777777" w:rsidR="00814849" w:rsidRDefault="00000000">
      <w:r>
        <w:t>[16] J. Howard and S. Ruder, "ULMFiT," ACL, 2018.</w:t>
      </w:r>
    </w:p>
    <w:p w14:paraId="000A0852" w14:textId="77777777" w:rsidR="00814849" w:rsidRDefault="00000000">
      <w:r>
        <w:t>[17] Hugging Face, "Hugging Face Hub Documentation," 2026.</w:t>
      </w:r>
    </w:p>
    <w:p w14:paraId="1BEDD947" w14:textId="77777777" w:rsidR="00814849" w:rsidRDefault="00000000">
      <w:r>
        <w:t>[18] Docker, "Docker Documentation," 2026.</w:t>
      </w:r>
    </w:p>
    <w:p w14:paraId="0EB54812" w14:textId="77777777" w:rsidR="00814849" w:rsidRDefault="00000000">
      <w:r>
        <w:t>[19] Railway, "Railway Deployment Docs," 2026.</w:t>
      </w:r>
    </w:p>
    <w:p w14:paraId="5B9AA265" w14:textId="77777777" w:rsidR="00814849" w:rsidRDefault="00000000">
      <w:r>
        <w:t>[20] NumPy, "NumPy Documentation," 2026.</w:t>
      </w:r>
    </w:p>
    <w:p w14:paraId="5654DDF3" w14:textId="77777777" w:rsidR="00814849" w:rsidRDefault="00000000">
      <w:r>
        <w:t>[21] Pandas, "Pandas Documentation," 2026.</w:t>
      </w:r>
    </w:p>
    <w:p w14:paraId="10D38447" w14:textId="77777777" w:rsidR="00814849" w:rsidRDefault="00000000">
      <w:r>
        <w:t>[22] Pydantic, "Pydantic Documentation," 2026.</w:t>
      </w:r>
    </w:p>
    <w:p w14:paraId="1D8658D5" w14:textId="77777777" w:rsidR="00814849" w:rsidRDefault="00000000">
      <w:r>
        <w:t>[23] Starlette, "Starlette ASGI Framework," 2026.</w:t>
      </w:r>
    </w:p>
    <w:p w14:paraId="460AB055" w14:textId="77777777" w:rsidR="00814849" w:rsidRDefault="00000000">
      <w:r>
        <w:t>[24] Uvicorn, "ASGI Server Documentation," 2026.</w:t>
      </w:r>
    </w:p>
    <w:p w14:paraId="231B7543" w14:textId="77777777" w:rsidR="00814849" w:rsidRDefault="00000000">
      <w:r>
        <w:t>[25] Supabase, "Supabase Documentation," 2026.</w:t>
      </w:r>
    </w:p>
    <w:p w14:paraId="6F6E50A5" w14:textId="77777777" w:rsidR="00814849" w:rsidRDefault="00000000">
      <w:r>
        <w:t>[26] OpenAI, "GPT Models Overview," 2026.</w:t>
      </w:r>
    </w:p>
    <w:sectPr w:rsidR="00814849" w:rsidSect="000728D6">
      <w:headerReference w:type="even" r:id="rId11"/>
      <w:headerReference w:type="default" r:id="rId12"/>
      <w:footerReference w:type="default" r:id="rId13"/>
      <w:headerReference w:type="first" r:id="rId14"/>
      <w:pgSz w:w="11906" w:h="16838"/>
      <w:pgMar w:top="567" w:right="567" w:bottom="567" w:left="567"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152A7" w14:textId="77777777" w:rsidR="00A90CB7" w:rsidRDefault="00A90CB7" w:rsidP="00657443">
      <w:r>
        <w:separator/>
      </w:r>
    </w:p>
  </w:endnote>
  <w:endnote w:type="continuationSeparator" w:id="0">
    <w:p w14:paraId="72979ABD" w14:textId="77777777" w:rsidR="00A90CB7" w:rsidRDefault="00A90CB7" w:rsidP="00657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34"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8943"/>
      <w:gridCol w:w="891"/>
    </w:tblGrid>
    <w:tr w:rsidR="000728D6" w:rsidRPr="00C020F5" w14:paraId="419D3FAE" w14:textId="77777777" w:rsidTr="000728D6">
      <w:trPr>
        <w:trHeight w:val="70"/>
        <w:jc w:val="center"/>
      </w:trPr>
      <w:tc>
        <w:tcPr>
          <w:tcW w:w="8943" w:type="dxa"/>
          <w:vAlign w:val="center"/>
          <w:hideMark/>
        </w:tcPr>
        <w:p w14:paraId="2965789B" w14:textId="77777777" w:rsidR="000728D6" w:rsidRPr="000728D6" w:rsidRDefault="001E63D5" w:rsidP="000B2E0F">
          <w:pPr>
            <w:pStyle w:val="Footer"/>
            <w:spacing w:before="40" w:after="40"/>
            <w:rPr>
              <w:rFonts w:ascii="Arial" w:hAnsi="Arial" w:cs="Arial"/>
              <w:b/>
              <w:bCs/>
              <w:color w:val="244061" w:themeColor="accent1" w:themeShade="80"/>
              <w:sz w:val="24"/>
              <w:szCs w:val="24"/>
            </w:rPr>
          </w:pPr>
          <w:r w:rsidRPr="001E63D5">
            <w:rPr>
              <w:rFonts w:ascii="Arial" w:eastAsia="PMingLiU" w:hAnsi="Arial" w:cs="Arial"/>
              <w:b/>
              <w:color w:val="244061" w:themeColor="accent1" w:themeShade="80"/>
              <w:sz w:val="22"/>
              <w:szCs w:val="22"/>
              <w:lang w:eastAsia="zh-TW" w:bidi="hi-IN"/>
            </w:rPr>
            <w:t>TIJER - INTERNATIONAL RESEARCH JOURNAL</w:t>
          </w:r>
          <w:r w:rsidR="000B2E0F">
            <w:rPr>
              <w:rFonts w:ascii="Arial" w:eastAsia="PMingLiU" w:hAnsi="Arial" w:cs="Arial"/>
              <w:b/>
              <w:color w:val="244061" w:themeColor="accent1" w:themeShade="80"/>
              <w:sz w:val="22"/>
              <w:szCs w:val="22"/>
              <w:lang w:eastAsia="zh-TW" w:bidi="hi-IN"/>
            </w:rPr>
            <w:t xml:space="preserve">  </w:t>
          </w:r>
          <w:hyperlink w:history="1"/>
          <w:r w:rsidR="000728D6" w:rsidRPr="000B2E0F">
            <w:rPr>
              <w:rFonts w:ascii="Arial" w:eastAsia="PMingLiU" w:hAnsi="Arial" w:cs="Arial"/>
              <w:b/>
              <w:color w:val="244061" w:themeColor="accent1" w:themeShade="80"/>
              <w:sz w:val="24"/>
              <w:szCs w:val="24"/>
              <w:lang w:eastAsia="zh-TW" w:bidi="hi-IN"/>
            </w:rPr>
            <w:t>www.tijer.org</w:t>
          </w:r>
        </w:p>
      </w:tc>
      <w:tc>
        <w:tcPr>
          <w:tcW w:w="891" w:type="dxa"/>
          <w:vAlign w:val="center"/>
          <w:hideMark/>
        </w:tcPr>
        <w:p w14:paraId="34D0997E" w14:textId="77777777" w:rsidR="000728D6" w:rsidRPr="00C020F5" w:rsidRDefault="000728D6" w:rsidP="000728D6">
          <w:pPr>
            <w:pStyle w:val="Header"/>
            <w:spacing w:before="40" w:after="40"/>
            <w:rPr>
              <w:rFonts w:ascii="Arial" w:hAnsi="Arial" w:cs="Arial"/>
              <w:b/>
              <w:color w:val="1F3864"/>
            </w:rPr>
          </w:pPr>
          <w:r w:rsidRPr="00C020F5">
            <w:rPr>
              <w:rFonts w:ascii="Arial" w:hAnsi="Arial" w:cs="Arial"/>
              <w:b/>
              <w:color w:val="1F3864"/>
            </w:rPr>
            <w:fldChar w:fldCharType="begin"/>
          </w:r>
          <w:r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Pr>
              <w:rFonts w:ascii="Arial" w:hAnsi="Arial" w:cs="Arial"/>
              <w:b/>
              <w:noProof/>
              <w:color w:val="1F3864"/>
            </w:rPr>
            <w:t>25</w:t>
          </w:r>
          <w:r w:rsidRPr="00C020F5">
            <w:rPr>
              <w:rFonts w:ascii="Arial" w:hAnsi="Arial" w:cs="Arial"/>
              <w:b/>
              <w:color w:val="1F3864"/>
            </w:rPr>
            <w:fldChar w:fldCharType="end"/>
          </w:r>
        </w:p>
      </w:tc>
    </w:tr>
  </w:tbl>
  <w:p w14:paraId="48A0C5EF" w14:textId="77777777" w:rsidR="000728D6" w:rsidRPr="000728D6" w:rsidRDefault="000728D6" w:rsidP="00072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AE645" w14:textId="77777777" w:rsidR="00A90CB7" w:rsidRDefault="00A90CB7" w:rsidP="00657443">
      <w:r>
        <w:separator/>
      </w:r>
    </w:p>
  </w:footnote>
  <w:footnote w:type="continuationSeparator" w:id="0">
    <w:p w14:paraId="1CD54214" w14:textId="77777777" w:rsidR="00A90CB7" w:rsidRDefault="00A90CB7" w:rsidP="00657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0341" w14:textId="77777777" w:rsidR="00F87FAD" w:rsidRDefault="00A90CB7">
    <w:pPr>
      <w:pStyle w:val="Header"/>
    </w:pPr>
    <w:r>
      <w:rPr>
        <w:noProof/>
        <w:lang w:val="en-IN" w:eastAsia="en-IN"/>
      </w:rPr>
      <w:pict w14:anchorId="2AE1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92681" o:spid="_x0000_s1027" type="#_x0000_t75" alt="" style="position:absolute;left:0;text-align:left;margin-left:0;margin-top:0;width:538.6pt;height:499.55pt;z-index:-251657216;mso-wrap-edited:f;mso-width-percent:0;mso-height-percent:0;mso-position-horizontal:center;mso-position-horizontal-relative:margin;mso-position-vertical:center;mso-position-vertical-relative:margin;mso-width-percent:0;mso-height-percent:0" o:allowincell="f">
          <v:imagedata r:id="rId1" o:title="logo-official-en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DDF8" w14:textId="77777777" w:rsidR="00657443" w:rsidRPr="00ED72D6" w:rsidRDefault="00A90CB7" w:rsidP="00657443">
    <w:pPr>
      <w:pStyle w:val="Header"/>
      <w:rPr>
        <w:rFonts w:ascii="Arial" w:hAnsi="Arial" w:cs="Arial"/>
        <w:b/>
        <w:bCs/>
        <w:color w:val="1F497D" w:themeColor="text2"/>
        <w:u w:val="single"/>
      </w:rPr>
    </w:pPr>
    <w:r>
      <w:rPr>
        <w:rFonts w:ascii="Arial" w:hAnsi="Arial" w:cs="Arial"/>
        <w:b/>
        <w:bCs/>
        <w:noProof/>
        <w:color w:val="1F497D" w:themeColor="text2"/>
        <w:u w:val="single"/>
        <w:lang w:val="en-IN" w:eastAsia="en-IN"/>
      </w:rPr>
      <w:pict w14:anchorId="7CC0E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92682" o:spid="_x0000_s1026" type="#_x0000_t75" alt="" style="position:absolute;left:0;text-align:left;margin-left:0;margin-top:0;width:538.6pt;height:499.55pt;z-index:-251656192;mso-wrap-edited:f;mso-width-percent:0;mso-height-percent:0;mso-position-horizontal:center;mso-position-horizontal-relative:margin;mso-position-vertical:center;mso-position-vertical-relative:margin;mso-width-percent:0;mso-height-percent:0" o:allowincell="f">
          <v:imagedata r:id="rId1" o:title="logo-official-enh" gain="19661f" blacklevel="22938f"/>
          <w10:wrap anchorx="margin" anchory="margin"/>
        </v:shape>
      </w:pict>
    </w:r>
    <w:r w:rsidR="00657443" w:rsidRPr="00ED72D6">
      <w:rPr>
        <w:rFonts w:ascii="Arial" w:hAnsi="Arial" w:cs="Arial"/>
        <w:b/>
        <w:bCs/>
        <w:color w:val="1F497D" w:themeColor="text2"/>
        <w:u w:val="single"/>
      </w:rPr>
      <w:t xml:space="preserve">TIJER || ISSN 2349-9249 || </w:t>
    </w:r>
    <w:r w:rsidR="000728D6" w:rsidRPr="00ED72D6">
      <w:rPr>
        <w:rFonts w:ascii="Arial" w:hAnsi="Arial" w:cs="Arial"/>
        <w:b/>
        <w:noProof/>
        <w:color w:val="1F497D" w:themeColor="text2"/>
        <w:sz w:val="22"/>
        <w:u w:val="single"/>
        <w:lang w:val="en-IN" w:eastAsia="en-US"/>
      </w:rPr>
      <w:t xml:space="preserve">© </w:t>
    </w:r>
    <w:r w:rsidR="00ED72D6" w:rsidRPr="00ED72D6">
      <w:rPr>
        <w:rFonts w:ascii="Arial" w:hAnsi="Arial" w:cs="Arial"/>
        <w:b/>
        <w:noProof/>
        <w:color w:val="1F497D" w:themeColor="text2"/>
        <w:sz w:val="22"/>
        <w:u w:val="single"/>
        <w:lang w:val="en-IN" w:eastAsia="en-US"/>
      </w:rPr>
      <w:t xml:space="preserve">Month </w:t>
    </w:r>
    <w:r w:rsidR="000728D6" w:rsidRPr="00ED72D6">
      <w:rPr>
        <w:rFonts w:ascii="Arial" w:hAnsi="Arial" w:cs="Arial"/>
        <w:b/>
        <w:noProof/>
        <w:color w:val="1F497D" w:themeColor="text2"/>
        <w:sz w:val="22"/>
        <w:u w:val="single"/>
        <w:lang w:val="en-IN" w:eastAsia="en-US"/>
      </w:rPr>
      <w:t>20XX</w:t>
    </w:r>
    <w:r w:rsidR="00ED72D6" w:rsidRPr="00ED72D6">
      <w:rPr>
        <w:rFonts w:ascii="Arial" w:hAnsi="Arial" w:cs="Arial"/>
        <w:b/>
        <w:noProof/>
        <w:color w:val="1F497D" w:themeColor="text2"/>
        <w:sz w:val="22"/>
        <w:u w:val="single"/>
        <w:lang w:val="en-IN" w:eastAsia="en-US"/>
      </w:rPr>
      <w:t>, Volume X, Issue X,</w:t>
    </w:r>
    <w:r w:rsidR="000728D6" w:rsidRPr="00ED72D6">
      <w:rPr>
        <w:rFonts w:ascii="Arial" w:hAnsi="Arial" w:cs="Arial"/>
        <w:b/>
        <w:noProof/>
        <w:color w:val="1F497D" w:themeColor="text2"/>
        <w:sz w:val="22"/>
        <w:u w:val="single"/>
        <w:lang w:val="en-IN" w:eastAsia="en-US"/>
      </w:rPr>
      <w:t xml:space="preserve"> </w:t>
    </w:r>
    <w:r w:rsidR="000728D6" w:rsidRPr="00ED72D6">
      <w:rPr>
        <w:rFonts w:ascii="Arial" w:hAnsi="Arial" w:cs="Arial"/>
        <w:b/>
        <w:bCs/>
        <w:color w:val="1F497D" w:themeColor="text2"/>
        <w:u w:val="single"/>
      </w:rPr>
      <w:t>|| www.tijer.org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A8D7" w14:textId="77777777" w:rsidR="00F87FAD" w:rsidRDefault="00A90CB7">
    <w:pPr>
      <w:pStyle w:val="Header"/>
    </w:pPr>
    <w:r>
      <w:rPr>
        <w:noProof/>
        <w:lang w:val="en-IN" w:eastAsia="en-IN"/>
      </w:rPr>
      <w:pict w14:anchorId="40010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92680" o:spid="_x0000_s1025" type="#_x0000_t75" alt="" style="position:absolute;left:0;text-align:left;margin-left:0;margin-top:0;width:538.6pt;height:499.55pt;z-index:-251658240;mso-wrap-edited:f;mso-width-percent:0;mso-height-percent:0;mso-position-horizontal:center;mso-position-horizontal-relative:margin;mso-position-vertical:center;mso-position-vertical-relative:margin;mso-width-percent:0;mso-height-percent:0" o:allowincell="f">
          <v:imagedata r:id="rId1" o:title="logo-official-en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99C5696"/>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42A16EE3"/>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6032BA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4F8D1366"/>
    <w:multiLevelType w:val="hybridMultilevel"/>
    <w:tmpl w:val="11E0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3647270"/>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796829842">
    <w:abstractNumId w:val="0"/>
  </w:num>
  <w:num w:numId="2" w16cid:durableId="1982953506">
    <w:abstractNumId w:val="4"/>
  </w:num>
  <w:num w:numId="3" w16cid:durableId="1340159073">
    <w:abstractNumId w:val="2"/>
  </w:num>
  <w:num w:numId="4" w16cid:durableId="1886871715">
    <w:abstractNumId w:val="3"/>
  </w:num>
  <w:num w:numId="5" w16cid:durableId="2106488550">
    <w:abstractNumId w:val="1"/>
  </w:num>
  <w:num w:numId="6" w16cid:durableId="356809130">
    <w:abstractNumId w:val="5"/>
  </w:num>
  <w:num w:numId="7" w16cid:durableId="1026642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7443"/>
    <w:rsid w:val="00012498"/>
    <w:rsid w:val="000728D6"/>
    <w:rsid w:val="000B2E0F"/>
    <w:rsid w:val="001E63D5"/>
    <w:rsid w:val="00210162"/>
    <w:rsid w:val="003A01D1"/>
    <w:rsid w:val="003B2B9C"/>
    <w:rsid w:val="004874CD"/>
    <w:rsid w:val="00657443"/>
    <w:rsid w:val="00814849"/>
    <w:rsid w:val="00884444"/>
    <w:rsid w:val="00A05877"/>
    <w:rsid w:val="00A90CB7"/>
    <w:rsid w:val="00AE0379"/>
    <w:rsid w:val="00C83C68"/>
    <w:rsid w:val="00CF322D"/>
    <w:rsid w:val="00D157CD"/>
    <w:rsid w:val="00D86567"/>
    <w:rsid w:val="00D91523"/>
    <w:rsid w:val="00E56F57"/>
    <w:rsid w:val="00E86FCC"/>
    <w:rsid w:val="00EA74EC"/>
    <w:rsid w:val="00ED72D6"/>
    <w:rsid w:val="00F87FAD"/>
    <w:rsid w:val="00FD3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4AECB"/>
  <w15:docId w15:val="{558E3C92-7B8C-4F66-BECF-C9FEA8C59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B9C"/>
    <w:pPr>
      <w:suppressAutoHyphens/>
      <w:spacing w:after="0" w:line="240" w:lineRule="auto"/>
      <w:jc w:val="center"/>
    </w:pPr>
    <w:rPr>
      <w:rFonts w:ascii="Times New Roman" w:eastAsia="SimSun" w:hAnsi="Times New Roman" w:cs="Times New Roman"/>
      <w:sz w:val="20"/>
      <w:szCs w:val="20"/>
      <w:lang w:val="en-US" w:eastAsia="zh-CN"/>
    </w:rPr>
  </w:style>
  <w:style w:type="paragraph" w:styleId="Heading1">
    <w:name w:val="heading 1"/>
    <w:basedOn w:val="Normal"/>
    <w:next w:val="Normal"/>
    <w:link w:val="Heading1Char"/>
    <w:qFormat/>
    <w:rsid w:val="004874CD"/>
    <w:pPr>
      <w:keepNext/>
      <w:keepLines/>
      <w:tabs>
        <w:tab w:val="num" w:pos="0"/>
        <w:tab w:val="left" w:pos="216"/>
        <w:tab w:val="left" w:pos="283"/>
        <w:tab w:val="left" w:pos="340"/>
        <w:tab w:val="left" w:pos="397"/>
      </w:tabs>
      <w:spacing w:before="160" w:after="80"/>
      <w:ind w:firstLine="216"/>
      <w:outlineLvl w:val="0"/>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7443"/>
    <w:pPr>
      <w:tabs>
        <w:tab w:val="center" w:pos="4513"/>
        <w:tab w:val="right" w:pos="9026"/>
      </w:tabs>
    </w:pPr>
  </w:style>
  <w:style w:type="character" w:customStyle="1" w:styleId="HeaderChar">
    <w:name w:val="Header Char"/>
    <w:basedOn w:val="DefaultParagraphFont"/>
    <w:link w:val="Header"/>
    <w:uiPriority w:val="99"/>
    <w:rsid w:val="00657443"/>
  </w:style>
  <w:style w:type="paragraph" w:styleId="Footer">
    <w:name w:val="footer"/>
    <w:basedOn w:val="Normal"/>
    <w:link w:val="FooterChar"/>
    <w:uiPriority w:val="99"/>
    <w:unhideWhenUsed/>
    <w:rsid w:val="00657443"/>
    <w:pPr>
      <w:tabs>
        <w:tab w:val="center" w:pos="4513"/>
        <w:tab w:val="right" w:pos="9026"/>
      </w:tabs>
    </w:pPr>
  </w:style>
  <w:style w:type="character" w:customStyle="1" w:styleId="FooterChar">
    <w:name w:val="Footer Char"/>
    <w:basedOn w:val="DefaultParagraphFont"/>
    <w:link w:val="Footer"/>
    <w:uiPriority w:val="99"/>
    <w:rsid w:val="00657443"/>
  </w:style>
  <w:style w:type="paragraph" w:customStyle="1" w:styleId="papertitle">
    <w:name w:val="paper title"/>
    <w:rsid w:val="00E56F57"/>
    <w:pPr>
      <w:suppressAutoHyphens/>
      <w:spacing w:after="120" w:line="240" w:lineRule="auto"/>
      <w:jc w:val="center"/>
    </w:pPr>
    <w:rPr>
      <w:rFonts w:ascii="Times New Roman" w:eastAsia="MS Mincho" w:hAnsi="Times New Roman" w:cs="Times New Roman"/>
      <w:sz w:val="48"/>
      <w:szCs w:val="48"/>
      <w:lang w:val="en-US"/>
    </w:rPr>
  </w:style>
  <w:style w:type="paragraph" w:customStyle="1" w:styleId="Affiliation">
    <w:name w:val="Affiliation"/>
    <w:rsid w:val="00E56F57"/>
    <w:pPr>
      <w:suppressAutoHyphens/>
      <w:spacing w:after="0" w:line="240" w:lineRule="auto"/>
      <w:jc w:val="center"/>
    </w:pPr>
    <w:rPr>
      <w:rFonts w:ascii="Times New Roman" w:eastAsia="SimSun" w:hAnsi="Times New Roman" w:cs="Times New Roman"/>
      <w:sz w:val="20"/>
      <w:szCs w:val="20"/>
      <w:lang w:val="en-US" w:eastAsia="zh-CN"/>
    </w:rPr>
  </w:style>
  <w:style w:type="paragraph" w:customStyle="1" w:styleId="Author">
    <w:name w:val="Author"/>
    <w:rsid w:val="00E56F57"/>
    <w:pPr>
      <w:suppressAutoHyphens/>
      <w:spacing w:before="360" w:after="40" w:line="240" w:lineRule="auto"/>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E56F57"/>
    <w:rPr>
      <w:color w:val="0000FF" w:themeColor="hyperlink"/>
      <w:u w:val="single"/>
    </w:rPr>
  </w:style>
  <w:style w:type="character" w:customStyle="1" w:styleId="Heading1Char">
    <w:name w:val="Heading 1 Char"/>
    <w:basedOn w:val="DefaultParagraphFont"/>
    <w:link w:val="Heading1"/>
    <w:rsid w:val="004874CD"/>
    <w:rPr>
      <w:rFonts w:ascii="Times New Roman" w:eastAsia="SimSun" w:hAnsi="Times New Roman" w:cs="Times New Roman"/>
      <w:smallCaps/>
      <w:sz w:val="20"/>
      <w:szCs w:val="20"/>
      <w:lang w:val="en-US"/>
    </w:rPr>
  </w:style>
  <w:style w:type="paragraph" w:styleId="BodyText">
    <w:name w:val="Body Text"/>
    <w:basedOn w:val="Normal"/>
    <w:link w:val="BodyTextChar"/>
    <w:uiPriority w:val="99"/>
    <w:semiHidden/>
    <w:unhideWhenUsed/>
    <w:rsid w:val="004874CD"/>
    <w:pPr>
      <w:spacing w:after="120"/>
    </w:pPr>
  </w:style>
  <w:style w:type="character" w:customStyle="1" w:styleId="BodyTextChar">
    <w:name w:val="Body Text Char"/>
    <w:basedOn w:val="DefaultParagraphFont"/>
    <w:link w:val="BodyText"/>
    <w:uiPriority w:val="99"/>
    <w:semiHidden/>
    <w:rsid w:val="004874CD"/>
    <w:rPr>
      <w:rFonts w:ascii="Times New Roman" w:eastAsia="SimSun" w:hAnsi="Times New Roman" w:cs="Times New Roman"/>
      <w:sz w:val="20"/>
      <w:szCs w:val="20"/>
      <w:lang w:val="en-US" w:eastAsia="zh-CN"/>
    </w:rPr>
  </w:style>
  <w:style w:type="paragraph" w:customStyle="1" w:styleId="Default">
    <w:name w:val="Default"/>
    <w:rsid w:val="004874CD"/>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paragraph" w:customStyle="1" w:styleId="IEEEParagraph">
    <w:name w:val="IEEE Paragraph"/>
    <w:basedOn w:val="Normal"/>
    <w:link w:val="IEEEParagraphChar"/>
    <w:rsid w:val="004874CD"/>
    <w:pPr>
      <w:suppressAutoHyphens w:val="0"/>
      <w:adjustRightInd w:val="0"/>
      <w:snapToGrid w:val="0"/>
      <w:ind w:firstLine="216"/>
      <w:jc w:val="both"/>
    </w:pPr>
    <w:rPr>
      <w:szCs w:val="24"/>
      <w:lang w:val="en-AU"/>
    </w:rPr>
  </w:style>
  <w:style w:type="character" w:customStyle="1" w:styleId="IEEEParagraphChar">
    <w:name w:val="IEEE Paragraph Char"/>
    <w:basedOn w:val="DefaultParagraphFont"/>
    <w:link w:val="IEEEParagraph"/>
    <w:rsid w:val="004874CD"/>
    <w:rPr>
      <w:rFonts w:ascii="Times New Roman" w:eastAsia="SimSun" w:hAnsi="Times New Roman" w:cs="Times New Roman"/>
      <w:sz w:val="20"/>
      <w:szCs w:val="24"/>
      <w:lang w:val="en-AU" w:eastAsia="zh-CN"/>
    </w:rPr>
  </w:style>
  <w:style w:type="paragraph" w:customStyle="1" w:styleId="IEEEHeading2">
    <w:name w:val="IEEE Heading 2"/>
    <w:basedOn w:val="Normal"/>
    <w:next w:val="IEEEParagraph"/>
    <w:rsid w:val="004874CD"/>
    <w:pPr>
      <w:numPr>
        <w:numId w:val="6"/>
      </w:numPr>
      <w:suppressAutoHyphens w:val="0"/>
      <w:adjustRightInd w:val="0"/>
      <w:snapToGrid w:val="0"/>
      <w:spacing w:before="150" w:after="60"/>
      <w:ind w:left="289" w:hanging="289"/>
      <w:jc w:val="left"/>
    </w:pPr>
    <w:rPr>
      <w:i/>
      <w:szCs w:val="24"/>
      <w:lang w:val="en-AU"/>
    </w:rPr>
  </w:style>
  <w:style w:type="paragraph" w:styleId="BalloonText">
    <w:name w:val="Balloon Text"/>
    <w:basedOn w:val="Normal"/>
    <w:link w:val="BalloonTextChar"/>
    <w:uiPriority w:val="99"/>
    <w:semiHidden/>
    <w:unhideWhenUsed/>
    <w:rsid w:val="004874CD"/>
    <w:rPr>
      <w:rFonts w:ascii="Tahoma" w:hAnsi="Tahoma" w:cs="Tahoma"/>
      <w:sz w:val="16"/>
      <w:szCs w:val="16"/>
    </w:rPr>
  </w:style>
  <w:style w:type="character" w:customStyle="1" w:styleId="BalloonTextChar">
    <w:name w:val="Balloon Text Char"/>
    <w:basedOn w:val="DefaultParagraphFont"/>
    <w:link w:val="BalloonText"/>
    <w:uiPriority w:val="99"/>
    <w:semiHidden/>
    <w:rsid w:val="004874CD"/>
    <w:rPr>
      <w:rFonts w:ascii="Tahoma" w:eastAsia="SimSun" w:hAnsi="Tahoma" w:cs="Tahoma"/>
      <w:sz w:val="16"/>
      <w:szCs w:val="16"/>
      <w:lang w:val="en-US" w:eastAsia="zh-CN"/>
    </w:rPr>
  </w:style>
  <w:style w:type="paragraph" w:styleId="ListParagraph">
    <w:name w:val="List Paragraph"/>
    <w:basedOn w:val="Normal"/>
    <w:uiPriority w:val="34"/>
    <w:qFormat/>
    <w:rsid w:val="004874CD"/>
    <w:pPr>
      <w:ind w:left="720"/>
      <w:contextualSpacing/>
    </w:pPr>
  </w:style>
  <w:style w:type="character" w:styleId="UnresolvedMention">
    <w:name w:val="Unresolved Mention"/>
    <w:basedOn w:val="DefaultParagraphFont"/>
    <w:uiPriority w:val="99"/>
    <w:semiHidden/>
    <w:unhideWhenUsed/>
    <w:rsid w:val="000B2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715BA-598D-4EA7-AD8F-617DCC9FE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Rakesh Solanki</dc:creator>
  <cp:lastModifiedBy>Sarosh Nadaf</cp:lastModifiedBy>
  <cp:revision>15</cp:revision>
  <dcterms:created xsi:type="dcterms:W3CDTF">2014-09-07T04:59:00Z</dcterms:created>
  <dcterms:modified xsi:type="dcterms:W3CDTF">2026-04-25T12:32:00Z</dcterms:modified>
</cp:coreProperties>
</file>