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A6C"/>
          <w:sz w:val="44"/>
        </w:rPr>
        <w:t>3D Ocean Circulation Visual Analytics</w:t>
      </w:r>
    </w:p>
    <w:p>
      <w:pPr>
        <w:jc w:val="center"/>
      </w:pPr>
      <w:r>
        <w:rPr>
          <w:i/>
          <w:color w:val="2A5A9C"/>
          <w:sz w:val="26"/>
        </w:rPr>
        <w:t>THALASSA — Multiscale Interactive System for Density-Driven Circulation</w:t>
        <w:br/>
        <w:t>Using the ECCO LLC4320 Dataset</w:t>
      </w:r>
    </w:p>
    <w:p/>
    <w:p>
      <w:pPr>
        <w:jc w:val="center"/>
      </w:pPr>
      <w:r>
        <w:rPr>
          <w:color w:val="555555"/>
          <w:sz w:val="22"/>
        </w:rPr>
        <w:t>IEEE SciVis Contest 2026 — Task 3: 3D Ocean Circulation Patterns with Depth</w:t>
      </w:r>
    </w:p>
    <w:p/>
    <w:p>
      <w:pPr>
        <w:jc w:val="center"/>
      </w:pPr>
      <w:r>
        <w:rPr>
          <w:color w:val="888888"/>
          <w:sz w:val="20"/>
        </w:rPr>
        <w:t>Project Status Report  ·  April 22, 2026</w:t>
      </w:r>
    </w:p>
    <w:p/>
    <w:p/>
    <w:p>
      <w:pPr>
        <w:pBdr>
          <w:bottom w:val="single" w:sz="6" w:space="1" w:color="AAAAAA"/>
        </w:pBdr>
      </w:pPr>
    </w:p>
    <w:p/>
    <w:p>
      <w:pPr>
        <w:pStyle w:val="Heading1"/>
      </w:pPr>
      <w:r>
        <w:rPr>
          <w:color w:val="1A3A6C"/>
        </w:rPr>
        <w:t>1. Executive Summary</w:t>
      </w:r>
    </w:p>
    <w:p>
      <w:r>
        <w:rPr>
          <w:sz w:val="22"/>
        </w:rPr>
        <w:t>THALASSA is an in-progress multiscale visual analytics system designed to explore density-driven three-dimensional ocean circulation using the NASA ECCO LLC4320 high-resolution ocean model output. The project targets IEEE SciVis Contest 2026 Task 3, which asks contestants to reveal how density gradients drive vertical and lateral water mass exchange in the global ocean.</w:t>
      </w:r>
    </w:p>
    <w:p/>
    <w:p>
      <w:r>
        <w:rPr>
          <w:sz w:val="22"/>
        </w:rPr>
        <w:t>The system couples a Python/FastAPI compute backend — capable of on-demand isopycnal surface extraction, TEOS-10 thermohaline decomposition, and vertical exchange scoring — with a React/TypeScript frontend delivering three linked interactive views: a georeferenced overview map, a WebGL 3D isopycnal surface viewer, and a Plotly T-S phase-space diagram. As of April 2026, Weeks 1–8 of a 12-week development roadmap are complete, yielding a fully functional end-to-end interactive prototype.</w:t>
      </w:r>
    </w:p>
    <w:p>
      <w:r>
        <w:br w:type="page"/>
      </w:r>
    </w:p>
    <w:p>
      <w:pPr>
        <w:pStyle w:val="Heading1"/>
      </w:pPr>
      <w:r>
        <w:rPr>
          <w:color w:val="1A3A6C"/>
        </w:rPr>
        <w:t>2. Contest Task and Scientific Motivation</w:t>
      </w:r>
    </w:p>
    <w:p>
      <w:pPr>
        <w:pStyle w:val="Heading2"/>
      </w:pPr>
      <w:r>
        <w:rPr>
          <w:color w:val="2A5A9C"/>
        </w:rPr>
        <w:t>2.1 IEEE SciVis Contest 2026 — Task 3</w:t>
      </w:r>
    </w:p>
    <w:p>
      <w:r>
        <w:rPr>
          <w:sz w:val="22"/>
        </w:rPr>
        <w:t>Task 3 of the IEEE SciVis 2026 Contest focuses on 3D Ocean Circulation Patterns with Depth. The core challenge is to design a visualization that helps domain scientists answer:</w:t>
      </w:r>
    </w:p>
    <w:p>
      <w:pPr>
        <w:pStyle w:val="ListBullet"/>
        <w:ind w:left="360"/>
      </w:pPr>
      <w:r>
        <w:rPr>
          <w:sz w:val="21"/>
        </w:rPr>
        <w:t>Where and when do isopycnal surfaces (surfaces of equal potential density σ₀) tilt, deepen, or shoal?</w:t>
      </w:r>
    </w:p>
    <w:p>
      <w:pPr>
        <w:pStyle w:val="ListBullet"/>
        <w:ind w:left="360"/>
      </w:pPr>
      <w:r>
        <w:rPr>
          <w:sz w:val="21"/>
        </w:rPr>
        <w:t>How do thermohaline compensation patterns reveal regions where temperature and salinity drive density changes in opposite directions?</w:t>
      </w:r>
    </w:p>
    <w:p>
      <w:pPr>
        <w:pStyle w:val="ListBullet"/>
        <w:ind w:left="360"/>
      </w:pPr>
      <w:r>
        <w:rPr>
          <w:sz w:val="21"/>
        </w:rPr>
        <w:t>Which regions exhibit strong vertical exchange — upwelling or downwelling — in weakly stratified water, signalling potential cross-isopycnal mixing?</w:t>
      </w:r>
    </w:p>
    <w:p>
      <w:pPr>
        <w:pStyle w:val="ListBullet"/>
        <w:ind w:left="360"/>
      </w:pPr>
      <w:r>
        <w:rPr>
          <w:sz w:val="21"/>
        </w:rPr>
        <w:t>How do these patterns vary across the three basins (North Atlantic, Southern Ocean, Equatorial Pacific) and across the 10,312-hour simulation period?</w:t>
      </w:r>
    </w:p>
    <w:p>
      <w:pPr>
        <w:pStyle w:val="Heading2"/>
      </w:pPr>
      <w:r>
        <w:rPr>
          <w:color w:val="2A5A9C"/>
        </w:rPr>
        <w:t>2.2 The ECCO LLC4320 Dataset</w:t>
      </w:r>
    </w:p>
    <w:p>
      <w:r>
        <w:rPr>
          <w:sz w:val="22"/>
        </w:rPr>
        <w:t>The LLC4320 simulation is a ≈ 1/48° global ocean model produced by the ECCO (Estimating the Circulation and Climate of the Ocean) consortium. Key specifications:</w:t>
      </w:r>
    </w:p>
    <w:p>
      <w:pPr>
        <w:pStyle w:val="ListBullet"/>
        <w:ind w:left="360"/>
      </w:pPr>
      <w:r>
        <w:rPr>
          <w:sz w:val="21"/>
        </w:rPr>
        <w:t>Grid: 17,280 × 12,960 × 90 (lon × lat × depth) voxels at full resolution</w:t>
      </w:r>
    </w:p>
    <w:p>
      <w:pPr>
        <w:pStyle w:val="ListBullet"/>
        <w:ind w:left="360"/>
      </w:pPr>
      <w:r>
        <w:rPr>
          <w:sz w:val="21"/>
        </w:rPr>
        <w:t>Temporal coverage: September 10, 2011 – November 15, 2012; one frame per hour (10,312 timesteps)</w:t>
      </w:r>
    </w:p>
    <w:p>
      <w:pPr>
        <w:pStyle w:val="ListBullet"/>
        <w:ind w:left="360"/>
      </w:pPr>
      <w:r>
        <w:rPr>
          <w:sz w:val="21"/>
        </w:rPr>
        <w:t>Variables: potential temperature θ (°C), practical salinity S (g/kg), vertical velocity w (m/s)</w:t>
      </w:r>
    </w:p>
    <w:p>
      <w:pPr>
        <w:pStyle w:val="ListBullet"/>
        <w:ind w:left="360"/>
      </w:pPr>
      <w:r>
        <w:rPr>
          <w:sz w:val="21"/>
        </w:rPr>
        <w:t>Depth levels: 90 non-uniform levels from 5 m (surface) to ~6,625 m (abyss)</w:t>
      </w:r>
    </w:p>
    <w:p>
      <w:pPr>
        <w:pStyle w:val="ListBullet"/>
        <w:ind w:left="360"/>
      </w:pPr>
      <w:r>
        <w:rPr>
          <w:sz w:val="21"/>
        </w:rPr>
        <w:t>Storage: accessed via the NSF Open Science Grid Pelican/OpenVisus infrastructure; no local copy — data is streamed on demand</w:t>
      </w:r>
    </w:p>
    <w:p>
      <w:pPr>
        <w:pStyle w:val="ListBullet"/>
        <w:ind w:left="360"/>
      </w:pPr>
      <w:r>
        <w:rPr>
          <w:sz w:val="21"/>
        </w:rPr>
        <w:t>Data URLs (theta, salt, w): pelican://osg-htc.org/nasa/nsdf/climate1/llc4320/idx/</w:t>
      </w:r>
    </w:p>
    <w:p>
      <w:r>
        <w:rPr>
          <w:sz w:val="22"/>
        </w:rPr>
        <w:br/>
        <w:t>The use of OpenVisus enables multi-resolution (quality parameter) access: a quality of −12 returns a 512× downsampled subvolume suitable for global overviews; −6 returns an 8× downsampled view suitable for regional analysis; 0 is full resolution. This progressive resolution model is central to THALASSA's interactive performance design.</w:t>
      </w:r>
    </w:p>
    <w:p>
      <w:pPr>
        <w:pStyle w:val="Heading2"/>
      </w:pPr>
      <w:r>
        <w:rPr>
          <w:color w:val="2A5A9C"/>
        </w:rPr>
        <w:t>2.3 Scientific Context</w:t>
      </w:r>
    </w:p>
    <w:p>
      <w:r>
        <w:rPr>
          <w:sz w:val="22"/>
        </w:rPr>
        <w:t>Isopycnal surfaces are a foundational concept in physical oceanography. Water parcels displaced along an isopycnal experience no buoyancy restoring force and therefore mix freely — this is the primary pathway by which the ocean transports heat, salt, and dissolved gases over basin scales. By extracting and rendering isopycnal surfaces from the LLC4320 simulation, THALASSA makes it possible to visually identify:</w:t>
      </w:r>
    </w:p>
    <w:p>
      <w:pPr>
        <w:pStyle w:val="ListBullet"/>
        <w:ind w:left="360"/>
      </w:pPr>
      <w:r>
        <w:rPr>
          <w:sz w:val="21"/>
        </w:rPr>
        <w:t>Tilted isopycnals that drive geostrophic jets and boundary currents (e.g. Gulf Stream)</w:t>
      </w:r>
    </w:p>
    <w:p>
      <w:pPr>
        <w:pStyle w:val="ListBullet"/>
        <w:ind w:left="360"/>
      </w:pPr>
      <w:r>
        <w:rPr>
          <w:sz w:val="21"/>
        </w:rPr>
        <w:t>Thermohaline compensation — regions where warming increases buoyancy while salinification decreases it, nearly canceling net density change</w:t>
      </w:r>
    </w:p>
    <w:p>
      <w:pPr>
        <w:pStyle w:val="ListBullet"/>
        <w:ind w:left="360"/>
      </w:pPr>
      <w:r>
        <w:rPr>
          <w:sz w:val="21"/>
        </w:rPr>
        <w:t>Vertical exchange hotspots — locations where stratification is weak enough that upwelling and downwelling can cross density surfaces, driving water mass transformation</w:t>
      </w:r>
    </w:p>
    <w:p>
      <w:r>
        <w:br w:type="page"/>
      </w:r>
    </w:p>
    <w:p>
      <w:pPr>
        <w:pStyle w:val="Heading1"/>
      </w:pPr>
      <w:r>
        <w:rPr>
          <w:color w:val="1A3A6C"/>
        </w:rPr>
        <w:t>3. System Architecture</w:t>
      </w:r>
    </w:p>
    <w:p>
      <w:r>
        <w:rPr>
          <w:sz w:val="22"/>
        </w:rPr>
        <w:t>THALASSA follows a three-tier architecture: a Python compute backend, a Redis-based async job queue, and a React/TypeScript frontend. All tiers communicate via a REST API served by FastAPI/Uvicorn on localhost:8000, with the Vite dev server at localhost:5173 proxying /api/* requests to the backend.</w:t>
      </w:r>
    </w:p>
    <w:p>
      <w:pPr>
        <w:pStyle w:val="Heading2"/>
      </w:pPr>
      <w:r>
        <w:rPr>
          <w:color w:val="2A5A9C"/>
        </w:rPr>
        <w:t>3.1 Backend</w:t>
      </w:r>
    </w:p>
    <w:p>
      <w:r>
        <w:rPr>
          <w:sz w:val="22"/>
        </w:rPr>
        <w:t>Technology stack:</w:t>
      </w:r>
    </w:p>
    <w:p>
      <w:pPr>
        <w:pStyle w:val="ListBullet"/>
        <w:ind w:left="360"/>
      </w:pPr>
      <w:r>
        <w:rPr>
          <w:sz w:val="21"/>
        </w:rPr>
        <w:t>FastAPI 0.111 + Uvicorn — async REST API server</w:t>
      </w:r>
    </w:p>
    <w:p>
      <w:pPr>
        <w:pStyle w:val="ListBullet"/>
        <w:ind w:left="360"/>
      </w:pPr>
      <w:r>
        <w:rPr>
          <w:sz w:val="21"/>
        </w:rPr>
        <w:t>Celery 5.3 + Redis 7 — distributed task queue for CPU-heavy jobs</w:t>
      </w:r>
    </w:p>
    <w:p>
      <w:pPr>
        <w:pStyle w:val="ListBullet"/>
        <w:ind w:left="360"/>
      </w:pPr>
      <w:r>
        <w:rPr>
          <w:sz w:val="21"/>
        </w:rPr>
        <w:t>OpenVisus Python SDK — multi-resolution remote data access to LLC4320 IDX files</w:t>
      </w:r>
    </w:p>
    <w:p>
      <w:pPr>
        <w:pStyle w:val="ListBullet"/>
        <w:ind w:left="360"/>
      </w:pPr>
      <w:r>
        <w:rPr>
          <w:sz w:val="21"/>
        </w:rPr>
        <w:t>GSW-Python (TEOS-10) — Gibbs Seawater Toolbox for oceanographic calculations</w:t>
      </w:r>
    </w:p>
    <w:p>
      <w:pPr>
        <w:pStyle w:val="ListBullet"/>
        <w:ind w:left="360"/>
      </w:pPr>
      <w:r>
        <w:rPr>
          <w:sz w:val="21"/>
        </w:rPr>
        <w:t>scikit-image — marching cubes algorithm for isopycnal surface extraction</w:t>
      </w:r>
    </w:p>
    <w:p>
      <w:pPr>
        <w:pStyle w:val="ListBullet"/>
        <w:ind w:left="360"/>
      </w:pPr>
      <w:r>
        <w:rPr>
          <w:sz w:val="21"/>
        </w:rPr>
        <w:t>NumPy / SciPy — array computation throughout</w:t>
      </w:r>
    </w:p>
    <w:p>
      <w:pPr>
        <w:pStyle w:val="ListBullet"/>
        <w:ind w:left="360"/>
      </w:pPr>
      <w:r>
        <w:rPr>
          <w:sz w:val="21"/>
        </w:rPr>
        <w:t>Pydantic v2 — request/response schema validation</w:t>
      </w:r>
    </w:p>
    <w:p>
      <w:pPr>
        <w:pStyle w:val="ListBullet"/>
        <w:ind w:left="360"/>
      </w:pPr>
      <w:r>
        <w:rPr>
          <w:sz w:val="21"/>
        </w:rPr>
        <w:t>Redis — result caching (24-hour TTL for overview data; 5-minute TTL for density fields)</w:t>
      </w:r>
    </w:p>
    <w:p>
      <w:r>
        <w:rPr>
          <w:sz w:val="22"/>
        </w:rPr>
        <w:br/>
        <w:t>Backend module layout:</w:t>
      </w:r>
    </w:p>
    <w:p>
      <w:pPr>
        <w:ind w:left="576"/>
      </w:pPr>
      <w:r>
        <w:rPr>
          <w:rFonts w:ascii="Courier New" w:hAnsi="Courier New"/>
          <w:color w:val="1A4A2A"/>
          <w:sz w:val="18"/>
        </w:rPr>
        <w:t>thalassa/backend/</w:t>
      </w:r>
    </w:p>
    <w:p>
      <w:pPr>
        <w:ind w:left="576"/>
      </w:pPr>
      <w:r>
        <w:rPr>
          <w:rFonts w:ascii="Courier New" w:hAnsi="Courier New"/>
          <w:color w:val="1A4A2A"/>
          <w:sz w:val="18"/>
        </w:rPr>
        <w:t xml:space="preserve">  main.py                     FastAPI application entry point</w:t>
      </w:r>
    </w:p>
    <w:p>
      <w:pPr>
        <w:ind w:left="576"/>
      </w:pPr>
      <w:r>
        <w:rPr>
          <w:rFonts w:ascii="Courier New" w:hAnsi="Courier New"/>
          <w:color w:val="1A4A2A"/>
          <w:sz w:val="18"/>
        </w:rPr>
        <w:t xml:space="preserve">  api/                         REST route handlers</w:t>
      </w:r>
    </w:p>
    <w:p>
      <w:pPr>
        <w:ind w:left="576"/>
      </w:pPr>
      <w:r>
        <w:rPr>
          <w:rFonts w:ascii="Courier New" w:hAnsi="Courier New"/>
          <w:color w:val="1A4A2A"/>
          <w:sz w:val="18"/>
        </w:rPr>
        <w:t xml:space="preserve">    metadata.py                Grid dimensions, variable list</w:t>
      </w:r>
    </w:p>
    <w:p>
      <w:pPr>
        <w:ind w:left="576"/>
      </w:pPr>
      <w:r>
        <w:rPr>
          <w:rFonts w:ascii="Courier New" w:hAnsi="Courier New"/>
          <w:color w:val="1A4A2A"/>
          <w:sz w:val="18"/>
        </w:rPr>
        <w:t xml:space="preserve">    roi.py                     ROI validation + query planning</w:t>
      </w:r>
    </w:p>
    <w:p>
      <w:pPr>
        <w:ind w:left="576"/>
      </w:pPr>
      <w:r>
        <w:rPr>
          <w:rFonts w:ascii="Courier New" w:hAnsi="Courier New"/>
          <w:color w:val="1A4A2A"/>
          <w:sz w:val="18"/>
        </w:rPr>
        <w:t xml:space="preserve">    derived.py                 TEOS-10 density fields endpoint</w:t>
      </w:r>
    </w:p>
    <w:p>
      <w:pPr>
        <w:ind w:left="576"/>
      </w:pPr>
      <w:r>
        <w:rPr>
          <w:rFonts w:ascii="Courier New" w:hAnsi="Courier New"/>
          <w:color w:val="1A4A2A"/>
          <w:sz w:val="18"/>
        </w:rPr>
        <w:t xml:space="preserve">    overview.py                Basin-level overview summaries</w:t>
      </w:r>
    </w:p>
    <w:p>
      <w:pPr>
        <w:ind w:left="576"/>
      </w:pPr>
      <w:r>
        <w:rPr>
          <w:rFonts w:ascii="Courier New" w:hAnsi="Courier New"/>
          <w:color w:val="1A4A2A"/>
          <w:sz w:val="18"/>
        </w:rPr>
        <w:t xml:space="preserve">    scene.py                   Isopycnal surface extraction endpoint</w:t>
      </w:r>
    </w:p>
    <w:p>
      <w:pPr>
        <w:ind w:left="576"/>
      </w:pPr>
      <w:r>
        <w:rPr>
          <w:rFonts w:ascii="Courier New" w:hAnsi="Courier New"/>
          <w:color w:val="1A4A2A"/>
          <w:sz w:val="18"/>
        </w:rPr>
        <w:t xml:space="preserve">    jobs.py                    Async job polling endpoint</w:t>
      </w:r>
    </w:p>
    <w:p>
      <w:pPr>
        <w:ind w:left="576"/>
      </w:pPr>
      <w:r>
        <w:rPr>
          <w:rFonts w:ascii="Courier New" w:hAnsi="Courier New"/>
          <w:color w:val="1A4A2A"/>
          <w:sz w:val="18"/>
        </w:rPr>
        <w:t xml:space="preserve">    schemas.py                 All Pydantic request/response models</w:t>
      </w:r>
    </w:p>
    <w:p>
      <w:pPr>
        <w:ind w:left="576"/>
      </w:pPr>
      <w:r>
        <w:rPr>
          <w:rFonts w:ascii="Courier New" w:hAnsi="Courier New"/>
          <w:color w:val="1A4A2A"/>
          <w:sz w:val="18"/>
        </w:rPr>
        <w:t xml:space="preserve">  data_access/</w:t>
      </w:r>
    </w:p>
    <w:p>
      <w:pPr>
        <w:ind w:left="576"/>
      </w:pPr>
      <w:r>
        <w:rPr>
          <w:rFonts w:ascii="Courier New" w:hAnsi="Courier New"/>
          <w:color w:val="1A4A2A"/>
          <w:sz w:val="18"/>
        </w:rPr>
        <w:t xml:space="preserve">    llc4320.py                 LLC4320Reader — OpenVisus wrapper + basin presets</w:t>
      </w:r>
    </w:p>
    <w:p>
      <w:pPr>
        <w:ind w:left="576"/>
      </w:pPr>
      <w:r>
        <w:rPr>
          <w:rFonts w:ascii="Courier New" w:hAnsi="Courier New"/>
          <w:color w:val="1A4A2A"/>
          <w:sz w:val="18"/>
        </w:rPr>
        <w:t xml:space="preserve">    depth_levels.py            90 LLC4320 depth levels + interpolation helpers</w:t>
      </w:r>
    </w:p>
    <w:p>
      <w:pPr>
        <w:ind w:left="576"/>
      </w:pPr>
      <w:r>
        <w:rPr>
          <w:rFonts w:ascii="Courier New" w:hAnsi="Courier New"/>
          <w:color w:val="1A4A2A"/>
          <w:sz w:val="18"/>
        </w:rPr>
        <w:t xml:space="preserve">  services/</w:t>
      </w:r>
    </w:p>
    <w:p>
      <w:pPr>
        <w:ind w:left="576"/>
      </w:pPr>
      <w:r>
        <w:rPr>
          <w:rFonts w:ascii="Courier New" w:hAnsi="Courier New"/>
          <w:color w:val="1A4A2A"/>
          <w:sz w:val="18"/>
        </w:rPr>
        <w:t xml:space="preserve">    derived_metrics/density.py TEOS-10 density + thermohaline decomposition</w:t>
      </w:r>
    </w:p>
    <w:p>
      <w:pPr>
        <w:ind w:left="576"/>
      </w:pPr>
      <w:r>
        <w:rPr>
          <w:rFonts w:ascii="Courier New" w:hAnsi="Courier New"/>
          <w:color w:val="1A4A2A"/>
          <w:sz w:val="18"/>
        </w:rPr>
        <w:t xml:space="preserve">    derived_metrics/vertical_exchange.py  VE score = |w| × exp(−N²/N²_ref)</w:t>
      </w:r>
    </w:p>
    <w:p>
      <w:pPr>
        <w:ind w:left="576"/>
      </w:pPr>
      <w:r>
        <w:rPr>
          <w:rFonts w:ascii="Courier New" w:hAnsi="Courier New"/>
          <w:color w:val="1A4A2A"/>
          <w:sz w:val="18"/>
        </w:rPr>
        <w:t xml:space="preserve">    query_planner/planner.py   Adaptive quality selection (≤200 MB cap)</w:t>
      </w:r>
    </w:p>
    <w:p>
      <w:pPr>
        <w:ind w:left="576"/>
      </w:pPr>
      <w:r>
        <w:rPr>
          <w:rFonts w:ascii="Courier New" w:hAnsi="Courier New"/>
          <w:color w:val="1A4A2A"/>
          <w:sz w:val="18"/>
        </w:rPr>
        <w:t xml:space="preserve">    scene/isopycnal.py         Marching cubes + geographic coordinate mapping</w:t>
      </w:r>
    </w:p>
    <w:p>
      <w:pPr>
        <w:ind w:left="576"/>
      </w:pPr>
      <w:r>
        <w:rPr>
          <w:rFonts w:ascii="Courier New" w:hAnsi="Courier New"/>
          <w:color w:val="1A4A2A"/>
          <w:sz w:val="18"/>
        </w:rPr>
        <w:t xml:space="preserve">  workers/</w:t>
      </w:r>
    </w:p>
    <w:p>
      <w:pPr>
        <w:ind w:left="576"/>
      </w:pPr>
      <w:r>
        <w:rPr>
          <w:rFonts w:ascii="Courier New" w:hAnsi="Courier New"/>
          <w:color w:val="1A4A2A"/>
          <w:sz w:val="18"/>
        </w:rPr>
        <w:t xml:space="preserve">    celery_app.py              Celery application config + sys.path fix</w:t>
      </w:r>
    </w:p>
    <w:p>
      <w:pPr>
        <w:ind w:left="576"/>
      </w:pPr>
      <w:r>
        <w:rPr>
          <w:rFonts w:ascii="Courier New" w:hAnsi="Courier New"/>
          <w:color w:val="1A4A2A"/>
          <w:sz w:val="18"/>
        </w:rPr>
        <w:t xml:space="preserve">    tasks.py                   Async density + isopycnal Celery tasks</w:t>
      </w:r>
    </w:p>
    <w:p>
      <w:pPr>
        <w:ind w:left="576"/>
      </w:pPr>
      <w:r>
        <w:rPr>
          <w:rFonts w:ascii="Courier New" w:hAnsi="Courier New"/>
          <w:color w:val="1A4A2A"/>
          <w:sz w:val="18"/>
        </w:rPr>
        <w:t xml:space="preserve">  cache/redis_cache.py         Redis get/set with TTL and JSON serialization</w:t>
      </w:r>
    </w:p>
    <w:p>
      <w:pPr>
        <w:ind w:left="576"/>
      </w:pPr>
      <w:r>
        <w:rPr>
          <w:rFonts w:ascii="Courier New" w:hAnsi="Courier New"/>
          <w:color w:val="1A4A2A"/>
          <w:sz w:val="18"/>
        </w:rPr>
        <w:t xml:space="preserve">  tests/                       7 test modules (pytest)</w:t>
      </w:r>
    </w:p>
    <w:p>
      <w:pPr>
        <w:pStyle w:val="Heading2"/>
      </w:pPr>
      <w:r>
        <w:rPr>
          <w:color w:val="2A5A9C"/>
        </w:rPr>
        <w:t>3.2 Frontend</w:t>
      </w:r>
    </w:p>
    <w:p>
      <w:r>
        <w:rPr>
          <w:sz w:val="22"/>
        </w:rPr>
        <w:t>Technology stack:</w:t>
      </w:r>
    </w:p>
    <w:p>
      <w:pPr>
        <w:pStyle w:val="ListBullet"/>
        <w:ind w:left="360"/>
      </w:pPr>
      <w:r>
        <w:rPr>
          <w:sz w:val="21"/>
        </w:rPr>
        <w:t>React 18 + TypeScript — component framework</w:t>
      </w:r>
    </w:p>
    <w:p>
      <w:pPr>
        <w:pStyle w:val="ListBullet"/>
        <w:ind w:left="360"/>
      </w:pPr>
      <w:r>
        <w:rPr>
          <w:sz w:val="21"/>
        </w:rPr>
        <w:t>Vite 5 — build tool and dev server (port 5173, proxies /api to :8000)</w:t>
      </w:r>
    </w:p>
    <w:p>
      <w:pPr>
        <w:pStyle w:val="ListBullet"/>
        <w:ind w:left="360"/>
      </w:pPr>
      <w:r>
        <w:rPr>
          <w:sz w:val="21"/>
        </w:rPr>
        <w:t>Zustand — lightweight global state store (ROI, σ₀ value, colorBy, brushed range)</w:t>
      </w:r>
    </w:p>
    <w:p>
      <w:pPr>
        <w:pStyle w:val="ListBullet"/>
        <w:ind w:left="360"/>
      </w:pPr>
      <w:r>
        <w:rPr>
          <w:sz w:val="21"/>
        </w:rPr>
        <w:t>TanStack Query (React Query) — server state, caching, polling</w:t>
      </w:r>
    </w:p>
    <w:p>
      <w:pPr>
        <w:pStyle w:val="ListBullet"/>
        <w:ind w:left="360"/>
      </w:pPr>
      <w:r>
        <w:rPr>
          <w:sz w:val="21"/>
        </w:rPr>
        <w:t>MapLibre GL JS — interactive georeferenced overview map</w:t>
      </w:r>
    </w:p>
    <w:p>
      <w:pPr>
        <w:pStyle w:val="ListBullet"/>
        <w:ind w:left="360"/>
      </w:pPr>
      <w:r>
        <w:rPr>
          <w:sz w:val="21"/>
        </w:rPr>
        <w:t>Raw WebGL1 + OES_element_index_uint — custom orbit renderer for 3D isopycnal surface</w:t>
      </w:r>
    </w:p>
    <w:p>
      <w:pPr>
        <w:pStyle w:val="ListBullet"/>
        <w:ind w:left="360"/>
      </w:pPr>
      <w:r>
        <w:rPr>
          <w:sz w:val="21"/>
        </w:rPr>
        <w:t>Plotly.js (scattergl) — GPU-accelerated T-S phase space diagram</w:t>
      </w:r>
    </w:p>
    <w:p>
      <w:pPr>
        <w:pStyle w:val="ListBullet"/>
        <w:ind w:left="360"/>
      </w:pPr>
      <w:r>
        <w:rPr>
          <w:sz w:val="21"/>
        </w:rPr>
        <w:t>Axios — HTTP client for all API calls</w:t>
      </w:r>
    </w:p>
    <w:p>
      <w:r>
        <w:rPr>
          <w:sz w:val="22"/>
        </w:rPr>
        <w:br/>
        <w:t>Frontend component layout:</w:t>
      </w:r>
    </w:p>
    <w:p>
      <w:pPr>
        <w:ind w:left="576"/>
      </w:pPr>
      <w:r>
        <w:rPr>
          <w:rFonts w:ascii="Courier New" w:hAnsi="Courier New"/>
          <w:color w:val="1A4A2A"/>
          <w:sz w:val="18"/>
        </w:rPr>
        <w:t>thalassa/frontend/src/</w:t>
      </w:r>
    </w:p>
    <w:p>
      <w:pPr>
        <w:ind w:left="576"/>
      </w:pPr>
      <w:r>
        <w:rPr>
          <w:rFonts w:ascii="Courier New" w:hAnsi="Courier New"/>
          <w:color w:val="1A4A2A"/>
          <w:sz w:val="18"/>
        </w:rPr>
        <w:t xml:space="preserve">  state/store.ts               Zustand store: ROI, σ₀, colorBy, brushedRange</w:t>
      </w:r>
    </w:p>
    <w:p>
      <w:pPr>
        <w:ind w:left="576"/>
      </w:pPr>
      <w:r>
        <w:rPr>
          <w:rFonts w:ascii="Courier New" w:hAnsi="Courier New"/>
          <w:color w:val="1A4A2A"/>
          <w:sz w:val="18"/>
        </w:rPr>
        <w:t xml:space="preserve">  api/</w:t>
      </w:r>
    </w:p>
    <w:p>
      <w:pPr>
        <w:ind w:left="576"/>
      </w:pPr>
      <w:r>
        <w:rPr>
          <w:rFonts w:ascii="Courier New" w:hAnsi="Courier New"/>
          <w:color w:val="1A4A2A"/>
          <w:sz w:val="18"/>
        </w:rPr>
        <w:t xml:space="preserve">    overview.ts                useOverview() — North Atlantic σ₀ overview hook</w:t>
      </w:r>
    </w:p>
    <w:p>
      <w:pPr>
        <w:ind w:left="576"/>
      </w:pPr>
      <w:r>
        <w:rPr>
          <w:rFonts w:ascii="Courier New" w:hAnsi="Courier New"/>
          <w:color w:val="1A4A2A"/>
          <w:sz w:val="18"/>
        </w:rPr>
        <w:t xml:space="preserve">    derived.ts                 useDensityFields() — TEOS-10 fields hook</w:t>
      </w:r>
    </w:p>
    <w:p>
      <w:pPr>
        <w:ind w:left="576"/>
      </w:pPr>
      <w:r>
        <w:rPr>
          <w:rFonts w:ascii="Courier New" w:hAnsi="Courier New"/>
          <w:color w:val="1A4A2A"/>
          <w:sz w:val="18"/>
        </w:rPr>
        <w:t xml:space="preserve">    isopycnal.ts               useIsopycnalJob() — submit+poll async job hook</w:t>
      </w:r>
    </w:p>
    <w:p>
      <w:pPr>
        <w:ind w:left="576"/>
      </w:pPr>
      <w:r>
        <w:rPr>
          <w:rFonts w:ascii="Courier New" w:hAnsi="Courier New"/>
          <w:color w:val="1A4A2A"/>
          <w:sz w:val="18"/>
        </w:rPr>
        <w:t xml:space="preserve">  panes/MainLayout.tsx         Root layout: sidebar + 3-panel CSS grid</w:t>
      </w:r>
    </w:p>
    <w:p>
      <w:pPr>
        <w:ind w:left="576"/>
      </w:pPr>
      <w:r>
        <w:rPr>
          <w:rFonts w:ascii="Courier New" w:hAnsi="Courier New"/>
          <w:color w:val="1A4A2A"/>
          <w:sz w:val="18"/>
        </w:rPr>
        <w:t xml:space="preserve">  components/</w:t>
      </w:r>
    </w:p>
    <w:p>
      <w:pPr>
        <w:ind w:left="576"/>
      </w:pPr>
      <w:r>
        <w:rPr>
          <w:rFonts w:ascii="Courier New" w:hAnsi="Courier New"/>
          <w:color w:val="1A4A2A"/>
          <w:sz w:val="18"/>
        </w:rPr>
        <w:t xml:space="preserve">    ROIControls.tsx            Left sidebar: coordinate inputs + explanatory hints</w:t>
      </w:r>
    </w:p>
    <w:p>
      <w:pPr>
        <w:ind w:left="576"/>
      </w:pPr>
      <w:r>
        <w:rPr>
          <w:rFonts w:ascii="Courier New" w:hAnsi="Courier New"/>
          <w:color w:val="1A4A2A"/>
          <w:sz w:val="18"/>
        </w:rPr>
        <w:t xml:space="preserve">    OverviewMap.tsx            MapLibre map + σ₀ heatmap + ROI box + legend</w:t>
      </w:r>
    </w:p>
    <w:p>
      <w:pPr>
        <w:ind w:left="576"/>
      </w:pPr>
      <w:r>
        <w:rPr>
          <w:rFonts w:ascii="Courier New" w:hAnsi="Courier New"/>
          <w:color w:val="1A4A2A"/>
          <w:sz w:val="18"/>
        </w:rPr>
        <w:t xml:space="preserve">    IsopycnalView.tsx          WebGL 3D orbit viewer + viridis color legend</w:t>
      </w:r>
    </w:p>
    <w:p>
      <w:pPr>
        <w:ind w:left="576"/>
      </w:pPr>
      <w:r>
        <w:rPr>
          <w:rFonts w:ascii="Courier New" w:hAnsi="Courier New"/>
          <w:color w:val="1A4A2A"/>
          <w:sz w:val="18"/>
        </w:rPr>
        <w:t xml:space="preserve">    TSPhaseSpace.tsx           Plotly T-S scatter + lasso-to-σ₀ interaction</w:t>
      </w:r>
    </w:p>
    <w:p>
      <w:pPr>
        <w:ind w:left="576"/>
      </w:pPr>
      <w:r>
        <w:rPr>
          <w:rFonts w:ascii="Courier New" w:hAnsi="Courier New"/>
          <w:color w:val="1A4A2A"/>
          <w:sz w:val="18"/>
        </w:rPr>
        <w:t xml:space="preserve">    StatusBar.tsx              Job status + vertex/face count bar</w:t>
      </w:r>
    </w:p>
    <w:p>
      <w:pPr>
        <w:ind w:left="576"/>
      </w:pPr>
      <w:r>
        <w:rPr>
          <w:rFonts w:ascii="Courier New" w:hAnsi="Courier New"/>
          <w:color w:val="1A4A2A"/>
          <w:sz w:val="18"/>
        </w:rPr>
        <w:t xml:space="preserve">    PanelBoundary.tsx          React error boundary per panel</w:t>
      </w:r>
    </w:p>
    <w:p>
      <w:pPr>
        <w:pStyle w:val="Heading2"/>
      </w:pPr>
      <w:r>
        <w:rPr>
          <w:color w:val="2A5A9C"/>
        </w:rPr>
        <w:t>3.3 Data Flow</w:t>
      </w:r>
    </w:p>
    <w:p>
      <w:r>
        <w:rPr>
          <w:sz w:val="22"/>
        </w:rPr>
        <w:t>The complete interactive loop for a user adjusting the ROI and σ₀ value proceeds as follows:</w:t>
      </w:r>
    </w:p>
    <w:p>
      <w:pPr>
        <w:pStyle w:val="ListBullet"/>
        <w:ind w:left="360"/>
      </w:pPr>
      <w:r>
        <w:rPr>
          <w:sz w:val="21"/>
        </w:rPr>
        <w:t>User edits coordinates in ROIControls or clicks the overview map → Zustand ROI state updates</w:t>
      </w:r>
    </w:p>
    <w:p>
      <w:pPr>
        <w:pStyle w:val="ListBullet"/>
        <w:ind w:left="360"/>
      </w:pPr>
      <w:r>
        <w:rPr>
          <w:sz w:val="21"/>
        </w:rPr>
        <w:t>useIsopycnalJob detects ROI/σ₀ change, fires POST /api/scene/isopycnal → backend validates request, dispatches Celery task, returns job_id in ~50 ms</w:t>
      </w:r>
    </w:p>
    <w:p>
      <w:pPr>
        <w:pStyle w:val="ListBullet"/>
        <w:ind w:left="360"/>
      </w:pPr>
      <w:r>
        <w:rPr>
          <w:sz w:val="21"/>
        </w:rPr>
        <w:t>Frontend polls GET /api/jobs/{job_id} every 2 seconds via refetchInterval</w:t>
      </w:r>
    </w:p>
    <w:p>
      <w:pPr>
        <w:pStyle w:val="ListBullet"/>
        <w:ind w:left="360"/>
      </w:pPr>
      <w:r>
        <w:rPr>
          <w:sz w:val="21"/>
        </w:rPr>
        <w:t>Celery worker: reads LLC4320 theta+salt from OpenVisus → compute σ₀ via TEOS-10 → marching cubes → return mesh JSON</w:t>
      </w:r>
    </w:p>
    <w:p>
      <w:pPr>
        <w:pStyle w:val="ListBullet"/>
        <w:ind w:left="360"/>
      </w:pPr>
      <w:r>
        <w:rPr>
          <w:sz w:val="21"/>
        </w:rPr>
        <w:t>Poll detects status=complete → IsopycnalView re-renders with new triangulated mesh</w:t>
      </w:r>
    </w:p>
    <w:p>
      <w:pPr>
        <w:pStyle w:val="ListBullet"/>
        <w:ind w:left="360"/>
      </w:pPr>
      <w:r>
        <w:rPr>
          <w:sz w:val="21"/>
        </w:rPr>
        <w:t>useDensityFields fires POST /api/derived/density → returns surface slice for T-S diagram</w:t>
      </w:r>
    </w:p>
    <w:p>
      <w:pPr>
        <w:pStyle w:val="ListBullet"/>
        <w:ind w:left="360"/>
      </w:pPr>
      <w:r>
        <w:rPr>
          <w:sz w:val="21"/>
        </w:rPr>
        <w:t>TSPhaseSpace lasso selection → median σ₀ of brushed points → setSigma0() → new job</w:t>
      </w:r>
    </w:p>
    <w:p>
      <w:pPr>
        <w:pStyle w:val="ListBullet"/>
        <w:ind w:left="360"/>
      </w:pPr>
      <w:r>
        <w:rPr>
          <w:sz w:val="21"/>
        </w:rPr>
        <w:t>useOverview fires POST /api/overview with basin=north_atlantic → returns coarse σ₀ heatmap rendered onto the map as an image source overlay</w:t>
      </w:r>
    </w:p>
    <w:p>
      <w:pPr>
        <w:pStyle w:val="Heading2"/>
      </w:pPr>
      <w:r>
        <w:rPr>
          <w:color w:val="2A5A9C"/>
        </w:rPr>
        <w:t>3.4 Async Job Architecture</w:t>
      </w:r>
    </w:p>
    <w:p>
      <w:r>
        <w:rPr>
          <w:sz w:val="22"/>
        </w:rPr>
        <w:t>Isopycnal extraction is computationally expensive (OpenVisus read + TEOS-10 + marching cubes can take 5–60 seconds depending on ROI size and quality). The sync HTTP path is therefore unsuitable. THALASSA uses a submit-then-poll pattern:</w:t>
      </w:r>
    </w:p>
    <w:p>
      <w:pPr>
        <w:pStyle w:val="ListBullet"/>
        <w:ind w:left="360"/>
      </w:pPr>
      <w:r>
        <w:rPr>
          <w:sz w:val="21"/>
        </w:rPr>
        <w:t>POST /api/scene/isopycnal — validates ROI, dispatches extract_isopycnal_async.delay(), returns {job_id, status: queued} in ~50 ms. Redis unavailability raises HTTP 503.</w:t>
      </w:r>
    </w:p>
    <w:p>
      <w:pPr>
        <w:pStyle w:val="ListBullet"/>
        <w:ind w:left="360"/>
      </w:pPr>
      <w:r>
        <w:rPr>
          <w:sz w:val="21"/>
        </w:rPr>
        <w:t>GET /api/jobs/{job_id} — checks Celery AsyncResult; returns {status, result} when complete. The result includes the full triangulated mesh as JSON.</w:t>
      </w:r>
    </w:p>
    <w:p>
      <w:pPr>
        <w:pStyle w:val="ListBullet"/>
        <w:ind w:left="360"/>
      </w:pPr>
      <w:r>
        <w:rPr>
          <w:sz w:val="21"/>
        </w:rPr>
        <w:t>Celery worker launched with PYTHONPATH=. to ensure forked subprocesses can import data_access, services, api modules (critical fix — prefork workers do not inherit runtime sys.path modifications).</w:t>
      </w:r>
    </w:p>
    <w:p>
      <w:r>
        <w:br w:type="page"/>
      </w:r>
    </w:p>
    <w:p>
      <w:pPr>
        <w:pStyle w:val="Heading1"/>
      </w:pPr>
      <w:r>
        <w:rPr>
          <w:color w:val="1A3A6C"/>
        </w:rPr>
        <w:t>4. Development Roadmap</w:t>
      </w:r>
    </w:p>
    <w:p>
      <w:r>
        <w:rPr>
          <w:sz w:val="22"/>
        </w:rPr>
        <w:t>The project follows a 12-week structured development plan. Weeks 1–8 are complete. Weeks 9–12 are planned.</w:t>
      </w:r>
    </w:p>
    <w:p>
      <w:pPr>
        <w:pStyle w:val="Heading2"/>
      </w:pPr>
      <w:r>
        <w:rPr>
          <w:color w:val="2A5A9C"/>
        </w:rPr>
        <w:t>4.1 Week 1–2: Data Access and Verification  [COMPLETE]</w:t>
      </w:r>
    </w:p>
    <w:p>
      <w:pPr>
        <w:pStyle w:val="ListBullet"/>
        <w:ind w:left="360"/>
      </w:pPr>
      <w:r>
        <w:rPr>
          <w:sz w:val="21"/>
        </w:rPr>
        <w:t>Implemented LLC4320Reader — OpenVisus wrapper with full-resolution grid constants (NX=17280, NY=12960, NZ=90), ROI pixel-space conversion, and quality parameter handling</w:t>
      </w:r>
    </w:p>
    <w:p>
      <w:pPr>
        <w:pStyle w:val="ListBullet"/>
        <w:ind w:left="360"/>
      </w:pPr>
      <w:r>
        <w:rPr>
          <w:sz w:val="21"/>
        </w:rPr>
        <w:t>Hardened 90-level depth table (DEPTH_LEVELS_M) with bi-directional index lookup</w:t>
      </w:r>
    </w:p>
    <w:p>
      <w:pPr>
        <w:pStyle w:val="ListBullet"/>
        <w:ind w:left="360"/>
      </w:pPr>
      <w:r>
        <w:rPr>
          <w:sz w:val="21"/>
        </w:rPr>
        <w:t>Produced and committed notebooks/01_verify_openvisus.py — verified correct orientation (no horizontal flip required for this client environment)</w:t>
      </w:r>
    </w:p>
    <w:p>
      <w:pPr>
        <w:pStyle w:val="ListBullet"/>
        <w:ind w:left="360"/>
      </w:pPr>
      <w:r>
        <w:rPr>
          <w:sz w:val="21"/>
        </w:rPr>
        <w:t>Scaffolded FastAPI application with CORS, health endpoint, initial React+Vite frontend</w:t>
      </w:r>
    </w:p>
    <w:p>
      <w:pPr>
        <w:pStyle w:val="Heading2"/>
      </w:pPr>
      <w:r>
        <w:rPr>
          <w:color w:val="2A5A9C"/>
        </w:rPr>
        <w:t>4.2 Week 3–4: ROI Endpoints and Density Prototype  [COMPLETE]</w:t>
      </w:r>
    </w:p>
    <w:p>
      <w:pPr>
        <w:pStyle w:val="ListBullet"/>
        <w:ind w:left="360"/>
      </w:pPr>
      <w:r>
        <w:rPr>
          <w:sz w:val="21"/>
        </w:rPr>
        <w:t>POST /api/roi — ROI validation endpoint with Pydantic geographic constraint checking</w:t>
      </w:r>
    </w:p>
    <w:p>
      <w:pPr>
        <w:pStyle w:val="ListBullet"/>
        <w:ind w:left="360"/>
      </w:pPr>
      <w:r>
        <w:rPr>
          <w:sz w:val="21"/>
        </w:rPr>
        <w:t>Query planner (planner.py) — adaptive quality selection with 200 MB data cap; auto-downgrades quality to prevent memory/timeout issues on large ROIs</w:t>
      </w:r>
    </w:p>
    <w:p>
      <w:pPr>
        <w:pStyle w:val="ListBullet"/>
        <w:ind w:left="360"/>
      </w:pPr>
      <w:r>
        <w:rPr>
          <w:sz w:val="21"/>
        </w:rPr>
        <w:t>Redis cache layer — generic get/set with configurable TTL; key includes all request parameters for content-addressable caching</w:t>
      </w:r>
    </w:p>
    <w:p>
      <w:pPr>
        <w:pStyle w:val="ListBullet"/>
        <w:ind w:left="360"/>
      </w:pPr>
      <w:r>
        <w:rPr>
          <w:sz w:val="21"/>
        </w:rPr>
        <w:t>TEOS-10 density prototype in notebooks/02_density_prototype.py — validated SA/CT/σ₀ computation against published North Atlantic climatology</w:t>
      </w:r>
    </w:p>
    <w:p>
      <w:pPr>
        <w:pStyle w:val="Heading2"/>
      </w:pPr>
      <w:r>
        <w:rPr>
          <w:color w:val="2A5A9C"/>
        </w:rPr>
        <w:t>4.3 Week 5–6: Full Density Pipeline and Async Backend  [COMPLETE]</w:t>
      </w:r>
    </w:p>
    <w:p>
      <w:pPr>
        <w:pStyle w:val="ListBullet"/>
        <w:ind w:left="360"/>
      </w:pPr>
      <w:r>
        <w:rPr>
          <w:sz w:val="21"/>
        </w:rPr>
        <w:t>POST /api/derived/density — production TEOS-10 endpoint computing: SA, CT, pressure, ρ, σ₀, α, β, ρ_thermal, ρ_haline, compensation_index, N²</w:t>
      </w:r>
    </w:p>
    <w:p>
      <w:pPr>
        <w:pStyle w:val="ListBullet"/>
        <w:ind w:left="360"/>
      </w:pPr>
      <w:r>
        <w:rPr>
          <w:sz w:val="21"/>
        </w:rPr>
        <w:t>POST /api/overview — basin-level (north_atlantic / southern_ocean / equatorial) σ₀ overview at quality=−12, with depth-band statistics (surface / thermocline / deep / abyss); cached 24 hours</w:t>
      </w:r>
    </w:p>
    <w:p>
      <w:pPr>
        <w:pStyle w:val="ListBullet"/>
        <w:ind w:left="360"/>
      </w:pPr>
      <w:r>
        <w:rPr>
          <w:sz w:val="21"/>
        </w:rPr>
        <w:t>Vertical exchange score — VE = |w| × exp(−max(0, N²) / N²_ref), surfacing upwelling in weakly stratified regions</w:t>
      </w:r>
    </w:p>
    <w:p>
      <w:pPr>
        <w:pStyle w:val="ListBullet"/>
        <w:ind w:left="360"/>
      </w:pPr>
      <w:r>
        <w:rPr>
          <w:sz w:val="21"/>
        </w:rPr>
        <w:t>Async job infrastructure — Celery tasks for density and isopycnal extraction; job polling via GET /api/jobs/{task_id}</w:t>
      </w:r>
    </w:p>
    <w:p>
      <w:pPr>
        <w:pStyle w:val="ListBullet"/>
        <w:ind w:left="360"/>
      </w:pPr>
      <w:r>
        <w:rPr>
          <w:sz w:val="21"/>
        </w:rPr>
        <w:t>Scene extraction prototype — isopycnal.py using marching cubes (scikit-image) with geographic coordinate mapping via linear interpolation</w:t>
      </w:r>
    </w:p>
    <w:p>
      <w:pPr>
        <w:pStyle w:val="Heading2"/>
      </w:pPr>
      <w:r>
        <w:rPr>
          <w:color w:val="2A5A9C"/>
        </w:rPr>
        <w:t>4.4 Week 7–8: Linked 3-Panel Frontend  [COMPLETE]</w:t>
      </w:r>
    </w:p>
    <w:p>
      <w:pPr>
        <w:pStyle w:val="ListBullet"/>
        <w:ind w:left="360"/>
      </w:pPr>
      <w:r>
        <w:rPr>
          <w:sz w:val="21"/>
        </w:rPr>
        <w:t>Zustand global state — ROI, sigma0Value, colorBy, brushedSigma0Range; changes propagate to all three panels simultaneously</w:t>
      </w:r>
    </w:p>
    <w:p>
      <w:pPr>
        <w:pStyle w:val="ListBullet"/>
        <w:ind w:left="360"/>
      </w:pPr>
      <w:r>
        <w:rPr>
          <w:sz w:val="21"/>
        </w:rPr>
        <w:t>useIsopycnalJob hook — submit-then-poll pattern: staleTime=Infinity prevents redundant submits; refetchInterval=2s polls until complete/failed</w:t>
      </w:r>
    </w:p>
    <w:p>
      <w:pPr>
        <w:pStyle w:val="ListBullet"/>
        <w:ind w:left="360"/>
      </w:pPr>
      <w:r>
        <w:rPr>
          <w:sz w:val="21"/>
        </w:rPr>
        <w:t>OverviewMap — MapLibre GL JS with offline-capable style (OpenStreetMap tiles + graticule fallback); σ₀ heatmap overlay rendered to canvas then injected as MapLibre image source; ResizeObserver for correct post-layout sizing; click-to-recenter ROI interaction</w:t>
      </w:r>
    </w:p>
    <w:p>
      <w:pPr>
        <w:pStyle w:val="ListBullet"/>
        <w:ind w:left="360"/>
      </w:pPr>
      <w:r>
        <w:rPr>
          <w:sz w:val="21"/>
        </w:rPr>
        <w:t>IsopycnalView — custom raw WebGL1 renderer: viridis fragment shader, OES_element_index_uint extension for 32-bit index buffers, orbit (drag) + zoom (scroll) controls, km-space coordinate normalization with adaptive vertical exaggeration</w:t>
      </w:r>
    </w:p>
    <w:p>
      <w:pPr>
        <w:pStyle w:val="ListBullet"/>
        <w:ind w:left="360"/>
      </w:pPr>
      <w:r>
        <w:rPr>
          <w:sz w:val="21"/>
        </w:rPr>
        <w:t>TSPhaseSpace — Plotly scattergl (GPU-accelerated) CT vs SA diagram colored by σ₀; lasso select computes median σ₀ of selection → triggers new isopycnal job</w:t>
      </w:r>
    </w:p>
    <w:p>
      <w:pPr>
        <w:pStyle w:val="ListBullet"/>
        <w:ind w:left="360"/>
      </w:pPr>
      <w:r>
        <w:rPr>
          <w:sz w:val="21"/>
        </w:rPr>
        <w:t>PanelBoundary — React error boundary per panel; prevents a single component crash from blanking the whole application</w:t>
      </w:r>
    </w:p>
    <w:p>
      <w:pPr>
        <w:pStyle w:val="ListBullet"/>
        <w:ind w:left="360"/>
      </w:pPr>
      <w:r>
        <w:rPr>
          <w:sz w:val="21"/>
        </w:rPr>
        <w:t>StatusBar — job lifecycle display (queued/running/complete/failed) with vertex and face counts</w:t>
      </w:r>
    </w:p>
    <w:p>
      <w:pPr>
        <w:pStyle w:val="ListBullet"/>
        <w:ind w:left="360"/>
      </w:pPr>
      <w:r>
        <w:rPr>
          <w:sz w:val="21"/>
        </w:rPr>
        <w:t>UX hardening — panel title bars, viridis color legends with live data range, per-control explanatory hints in sidebar, T-S diagram lasso instruction in title</w:t>
      </w:r>
    </w:p>
    <w:p>
      <w:pPr>
        <w:pStyle w:val="ListBullet"/>
        <w:ind w:left="360"/>
      </w:pPr>
      <w:r>
        <w:rPr>
          <w:sz w:val="21"/>
        </w:rPr>
        <w:t>start.sh — single-command launcher that starts Redis, Celery, FastAPI, and Vite in order with port-readiness checks and Ctrl-C cleanup</w:t>
      </w:r>
    </w:p>
    <w:p>
      <w:r>
        <w:br w:type="page"/>
      </w:r>
    </w:p>
    <w:p>
      <w:pPr>
        <w:pStyle w:val="Heading1"/>
      </w:pPr>
      <w:r>
        <w:rPr>
          <w:color w:val="1A3A6C"/>
        </w:rPr>
        <w:t>5. Key Engineering Challenges and Solutions</w:t>
      </w:r>
    </w:p>
    <w:p>
      <w:pPr>
        <w:pStyle w:val="Heading2"/>
      </w:pPr>
      <w:r>
        <w:rPr>
          <w:color w:val="2A5A9C"/>
        </w:rPr>
        <w:t>5.1 OpenVisus Remote Data Access</w:t>
      </w:r>
    </w:p>
    <w:p>
      <w:r>
        <w:rPr>
          <w:sz w:val="22"/>
        </w:rPr>
        <w:t>The LLC4320 dataset is not stored locally — it is streamed from OSG Pelican object storage via the OpenVisus IDX protocol. This introduces several challenges:</w:t>
      </w:r>
    </w:p>
    <w:p>
      <w:pPr>
        <w:pStyle w:val="ListBullet"/>
        <w:ind w:left="360"/>
      </w:pPr>
      <w:r>
        <w:rPr>
          <w:sz w:val="21"/>
        </w:rPr>
        <w:t>Latency: a quality=−6 read of a 10°×10° region takes 3–15 seconds depending on network conditions; quality=−9 takes 1–3 seconds</w:t>
      </w:r>
    </w:p>
    <w:p>
      <w:pPr>
        <w:pStyle w:val="ListBullet"/>
        <w:ind w:left="360"/>
      </w:pPr>
      <w:r>
        <w:rPr>
          <w:sz w:val="21"/>
        </w:rPr>
        <w:t>Grid orientation: LLC4320 raw reads can come back horizontally flipped depending on client environment. A verification notebook (01_verify_openvisus.py) must be run in each new environment before trusting subvolume orientation</w:t>
      </w:r>
    </w:p>
    <w:p>
      <w:pPr>
        <w:pStyle w:val="ListBullet"/>
        <w:ind w:left="360"/>
      </w:pPr>
      <w:r>
        <w:rPr>
          <w:sz w:val="21"/>
        </w:rPr>
        <w:t>Solution: async Celery workers absorb latency; adaptive quality planner caps payload at 200 MB; Redis caching eliminates redundant reads for the same ROI+timestep</w:t>
      </w:r>
    </w:p>
    <w:p>
      <w:pPr>
        <w:pStyle w:val="Heading2"/>
      </w:pPr>
      <w:r>
        <w:rPr>
          <w:color w:val="2A5A9C"/>
        </w:rPr>
        <w:t>5.2 Celery Worker Module Discovery (Prefork)</w:t>
      </w:r>
    </w:p>
    <w:p>
      <w:r>
        <w:rPr>
          <w:sz w:val="22"/>
        </w:rPr>
        <w:t>Celery's prefork concurrency model forks worker processes at startup. Runtime sys.path modifications (e.g. appending the backend root in celery_app.py) are not reliably inherited by forked subprocesses because the fork happens after the Python interpreter state is set. This caused persistent ModuleNotFoundError: No module named 'data_access' in task workers.</w:t>
      </w:r>
    </w:p>
    <w:p>
      <w:pPr>
        <w:pStyle w:val="ListBullet"/>
        <w:ind w:left="360"/>
      </w:pPr>
      <w:r>
        <w:rPr>
          <w:sz w:val="21"/>
        </w:rPr>
        <w:t>Failed approach: sys.path.insert(0, backend_root) in celery_app.py — executed before fork but not in all fork paths</w:t>
      </w:r>
    </w:p>
    <w:p>
      <w:pPr>
        <w:pStyle w:val="ListBullet"/>
        <w:ind w:left="360"/>
      </w:pPr>
      <w:r>
        <w:rPr>
          <w:sz w:val="21"/>
        </w:rPr>
        <w:t>Failed approach: sys.path.insert in tasks.py module level — same issue</w:t>
      </w:r>
    </w:p>
    <w:p>
      <w:pPr>
        <w:pStyle w:val="ListBullet"/>
        <w:ind w:left="360"/>
      </w:pPr>
      <w:r>
        <w:rPr>
          <w:sz w:val="21"/>
        </w:rPr>
        <w:t>Working solution: PYTHONPATH=. celery -A workers.celery_app worker ... — the OS-level environment variable is inherited by all forked subprocesses reliably; encoded permanently in start.sh and documented</w:t>
      </w:r>
    </w:p>
    <w:p>
      <w:pPr>
        <w:pStyle w:val="Heading2"/>
      </w:pPr>
      <w:r>
        <w:rPr>
          <w:color w:val="2A5A9C"/>
        </w:rPr>
        <w:t>5.3 WebGL1 Index Buffer Type Limitation</w:t>
      </w:r>
    </w:p>
    <w:p>
      <w:r>
        <w:rPr>
          <w:sz w:val="22"/>
        </w:rPr>
        <w:t>Base WebGL1 only supports gl.UNSIGNED_SHORT (16-bit) indices in drawElements, limiting meshes to 65,535 vertices. The LLC4320 isopycnal meshes regularly exceed this (a 10°×10°×2000m volume at quality=−6 produces ~100k–500k vertices). Using gl.UNSIGNED_INT triggered INVALID_ENUM: drawElements: invalid type on every frame.</w:t>
      </w:r>
    </w:p>
    <w:p>
      <w:pPr>
        <w:pStyle w:val="ListBullet"/>
        <w:ind w:left="360"/>
      </w:pPr>
      <w:r>
        <w:rPr>
          <w:sz w:val="21"/>
        </w:rPr>
        <w:t>Solution: gl.getExtension('OES_element_index_uint') — this extension is supported on &gt;99% of WebGL1 hardware. If unavailable, fall back to Uint16Array with gl.UNSIGNED_SHORT (graceful degradation for very old GPUs)</w:t>
      </w:r>
    </w:p>
    <w:p>
      <w:pPr>
        <w:pStyle w:val="ListBullet"/>
        <w:ind w:left="360"/>
      </w:pPr>
      <w:r>
        <w:rPr>
          <w:sz w:val="21"/>
        </w:rPr>
        <w:t>Implementation: buildRenderer() returns extUint32; idxData and idxType are selected conditionally; no change to draw call structure</w:t>
      </w:r>
    </w:p>
    <w:p>
      <w:pPr>
        <w:pStyle w:val="Heading2"/>
      </w:pPr>
      <w:r>
        <w:rPr>
          <w:color w:val="2A5A9C"/>
        </w:rPr>
        <w:t>5.4 MapLibre GL JS ESM Default Export</w:t>
      </w:r>
    </w:p>
    <w:p>
      <w:r>
        <w:rPr>
          <w:sz w:val="22"/>
        </w:rPr>
        <w:t>Vite's optimizeDeps.exclude: ['maplibre-gl'] setting caused Vite to serve the raw ESM bundle without the synthetic CJS default export wrapper. The import statement import maplibregl from 'maplibre-gl' then threw SyntaxError: does not provide an export named 'default', producing a blank screen.</w:t>
      </w:r>
    </w:p>
    <w:p>
      <w:pPr>
        <w:pStyle w:val="ListBullet"/>
        <w:ind w:left="360"/>
      </w:pPr>
      <w:r>
        <w:rPr>
          <w:sz w:val="21"/>
        </w:rPr>
        <w:t>Solution: optimizeDeps.include: ['maplibre-gl'] forces Vite to pre-bundle maplibre-gl through esbuild, which adds the synthetic default export; combined with manualChunks.maplibre to keep it in a separate chunk</w:t>
      </w:r>
    </w:p>
    <w:p>
      <w:pPr>
        <w:pStyle w:val="Heading2"/>
      </w:pPr>
      <w:r>
        <w:rPr>
          <w:color w:val="2A5A9C"/>
        </w:rPr>
        <w:t>5.5 MapLibre Container Sizing</w:t>
      </w:r>
    </w:p>
    <w:p>
      <w:r>
        <w:rPr>
          <w:sz w:val="22"/>
        </w:rPr>
        <w:t>MapLibre reads the container dimensions at initialization time. When the map is mounted inside a CSS Grid with fr-unit row sizes, the browser may not have finished layout by the time the map constructor runs, resulting in a 0×0 viewport and a blank map panel.</w:t>
      </w:r>
    </w:p>
    <w:p>
      <w:pPr>
        <w:pStyle w:val="ListBullet"/>
        <w:ind w:left="360"/>
      </w:pPr>
      <w:r>
        <w:rPr>
          <w:sz w:val="21"/>
        </w:rPr>
        <w:t>Solution 1: map.resize() inside the 'load' event handler — forces a size recalculation after the style is applied</w:t>
      </w:r>
    </w:p>
    <w:p>
      <w:pPr>
        <w:pStyle w:val="ListBullet"/>
        <w:ind w:left="360"/>
      </w:pPr>
      <w:r>
        <w:rPr>
          <w:sz w:val="21"/>
        </w:rPr>
        <w:t>Solution 2: ResizeObserver on the container div — calls map.resize() whenever the CSS grid finalizes or the window is resized; handles all subsequent layout changes</w:t>
      </w:r>
    </w:p>
    <w:p>
      <w:pPr>
        <w:pStyle w:val="ListBullet"/>
        <w:ind w:left="360"/>
      </w:pPr>
      <w:r>
        <w:rPr>
          <w:sz w:val="21"/>
        </w:rPr>
        <w:t>Also changed gridTemplateRows from '55% 45%' to '55fr 45fr' — fr units resolve without requiring a 'definite' container height, avoiding the CSS percentage resolution ambiguity in flex contexts</w:t>
      </w:r>
    </w:p>
    <w:p>
      <w:pPr>
        <w:pStyle w:val="Heading2"/>
      </w:pPr>
      <w:r>
        <w:rPr>
          <w:color w:val="2A5A9C"/>
        </w:rPr>
        <w:t>5.6 Coordinate Normalization for WebGL Rendering</w:t>
      </w:r>
    </w:p>
    <w:p>
      <w:r>
        <w:rPr>
          <w:sz w:val="22"/>
        </w:rPr>
        <w:t>The isopycnal mesh arrives in geographic coordinates: longitude (degrees), latitude (degrees), depth (meters). Directly using these coordinates in the WebGL MVP matrix collapses the mesh into a thin horizontal line because a 10° latitude range ≈ 1,100 km whereas a 2,000 m depth range is &lt;2% of that in raw units.</w:t>
      </w:r>
    </w:p>
    <w:p>
      <w:pPr>
        <w:pStyle w:val="ListBullet"/>
        <w:ind w:left="360"/>
      </w:pPr>
      <w:r>
        <w:rPr>
          <w:sz w:val="21"/>
        </w:rPr>
        <w:t>Solution: convert to km-space — lon offset × cos(lat) × 111.32 km/deg, lat offset × 111.32 km/deg, depth in km (negative, surface up)</w:t>
      </w:r>
    </w:p>
    <w:p>
      <w:pPr>
        <w:pStyle w:val="ListBullet"/>
        <w:ind w:left="360"/>
      </w:pPr>
      <w:r>
        <w:rPr>
          <w:sz w:val="21"/>
        </w:rPr>
        <w:t>Adaptive vertical exaggeration — verticalScale = clamp(1.8, 12, horizontalRange × 0.42 / depthRange); makes stratification and depth structure visible without over-stretching</w:t>
      </w:r>
    </w:p>
    <w:p>
      <w:pPr>
        <w:pStyle w:val="ListBullet"/>
        <w:ind w:left="360"/>
      </w:pPr>
      <w:r>
        <w:rPr>
          <w:sz w:val="21"/>
        </w:rPr>
        <w:t>Mesh is centered at its geographic centroid before GPU upload so the orbit camera always rotates around the data center</w:t>
      </w:r>
    </w:p>
    <w:p>
      <w:r>
        <w:br w:type="page"/>
      </w:r>
    </w:p>
    <w:p>
      <w:pPr>
        <w:pStyle w:val="Heading1"/>
      </w:pPr>
      <w:r>
        <w:rPr>
          <w:color w:val="1A3A6C"/>
        </w:rPr>
        <w:t>6. Current Feature Inventory (Weeks 1–8)</w:t>
      </w:r>
    </w:p>
    <w:p>
      <w:pPr>
        <w:pStyle w:val="Heading2"/>
      </w:pPr>
      <w:r>
        <w:rPr>
          <w:color w:val="2A5A9C"/>
        </w:rPr>
        <w:t>6.1 Data Pipeline</w:t>
      </w:r>
    </w:p>
    <w:p>
      <w:pPr>
        <w:pStyle w:val="ListBullet"/>
        <w:ind w:left="360"/>
      </w:pPr>
      <w:r>
        <w:rPr>
          <w:sz w:val="21"/>
        </w:rPr>
        <w:t>LLC4320Reader with geographic↔pixel coordinate transforms and basin presets (north_atlantic, southern_ocean, equatorial)</w:t>
      </w:r>
    </w:p>
    <w:p>
      <w:pPr>
        <w:pStyle w:val="ListBullet"/>
        <w:ind w:left="360"/>
      </w:pPr>
      <w:r>
        <w:rPr>
          <w:sz w:val="21"/>
        </w:rPr>
        <w:t>90-level depth table with bi-directional index lookup</w:t>
      </w:r>
    </w:p>
    <w:p>
      <w:pPr>
        <w:pStyle w:val="ListBullet"/>
        <w:ind w:left="360"/>
      </w:pPr>
      <w:r>
        <w:rPr>
          <w:sz w:val="21"/>
        </w:rPr>
        <w:t>Adaptive quality planner: auto-selects coarsest quality that keeps payload &lt;200 MB</w:t>
      </w:r>
    </w:p>
    <w:p>
      <w:pPr>
        <w:pStyle w:val="ListBullet"/>
        <w:ind w:left="360"/>
      </w:pPr>
      <w:r>
        <w:rPr>
          <w:sz w:val="21"/>
        </w:rPr>
        <w:t>Redis result cache with configurable TTL; overview cached 24h, density 5min</w:t>
      </w:r>
    </w:p>
    <w:p>
      <w:pPr>
        <w:pStyle w:val="Heading2"/>
      </w:pPr>
      <w:r>
        <w:rPr>
          <w:color w:val="2A5A9C"/>
        </w:rPr>
        <w:t>6.2 Derived Metrics</w:t>
      </w:r>
    </w:p>
    <w:p>
      <w:pPr>
        <w:pStyle w:val="ListBullet"/>
        <w:ind w:left="360"/>
      </w:pPr>
      <w:r>
        <w:rPr>
          <w:sz w:val="21"/>
        </w:rPr>
        <w:t>Full TEOS-10 pipeline: SA (Absolute Salinity), CT (Conservative Temperature), pressure, ρ, σ₀ (potential density anomaly), α (thermal expansion), β (haline contraction)</w:t>
      </w:r>
    </w:p>
    <w:p>
      <w:pPr>
        <w:pStyle w:val="ListBullet"/>
        <w:ind w:left="360"/>
      </w:pPr>
      <w:r>
        <w:rPr>
          <w:sz w:val="21"/>
        </w:rPr>
        <w:t>Thermohaline decomposition: ρ_thermal = ρ₀ × (−α × ΔCT), ρ_haline = ρ₀ × (β × ΔSA)</w:t>
      </w:r>
    </w:p>
    <w:p>
      <w:pPr>
        <w:pStyle w:val="ListBullet"/>
        <w:ind w:left="360"/>
      </w:pPr>
      <w:r>
        <w:rPr>
          <w:sz w:val="21"/>
        </w:rPr>
        <w:t>Thermohaline compensation index: compensation_index = ρ_thermal / (ρ_haline + ε)</w:t>
      </w:r>
    </w:p>
    <w:p>
      <w:pPr>
        <w:pStyle w:val="ListBullet"/>
        <w:ind w:left="360"/>
      </w:pPr>
      <w:r>
        <w:rPr>
          <w:sz w:val="21"/>
        </w:rPr>
        <w:t>Brunt-Väisälä frequency squared (N²) — stratification stability metric</w:t>
      </w:r>
    </w:p>
    <w:p>
      <w:pPr>
        <w:pStyle w:val="ListBullet"/>
        <w:ind w:left="360"/>
      </w:pPr>
      <w:r>
        <w:rPr>
          <w:sz w:val="21"/>
        </w:rPr>
        <w:t>Vertical exchange score: VE = |w| × exp(−max(0, N²) / N²_ref), surfaces dynamically active vertical mixing zones</w:t>
      </w:r>
    </w:p>
    <w:p>
      <w:pPr>
        <w:pStyle w:val="Heading2"/>
      </w:pPr>
      <w:r>
        <w:rPr>
          <w:color w:val="2A5A9C"/>
        </w:rPr>
        <w:t>6.3 API Endpoints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sz w:val="20"/>
              </w:rPr>
              <w:t>Endpoint</w:t>
            </w:r>
          </w:p>
        </w:tc>
        <w:tc>
          <w:tcPr>
            <w:tcW w:type="dxa" w:w="2928"/>
          </w:tcPr>
          <w:p>
            <w:r>
              <w:rPr>
                <w:b/>
                <w:sz w:val="20"/>
              </w:rPr>
              <w:t>Method</w:t>
            </w:r>
          </w:p>
        </w:tc>
        <w:tc>
          <w:tcPr>
            <w:tcW w:type="dxa" w:w="2928"/>
          </w:tcPr>
          <w:p>
            <w:r>
              <w:rPr>
                <w:b/>
                <w:sz w:val="20"/>
              </w:rPr>
              <w:t>Description</w:t>
            </w:r>
          </w:p>
        </w:tc>
      </w:tr>
      <w:tr>
        <w:tc>
          <w:tcPr>
            <w:tcW w:type="dxa" w:w="2928"/>
          </w:tcPr>
          <w:p>
            <w:r>
              <w:rPr>
                <w:sz w:val="19"/>
              </w:rPr>
              <w:t>GET /health</w:t>
            </w:r>
          </w:p>
        </w:tc>
        <w:tc>
          <w:tcPr>
            <w:tcW w:type="dxa" w:w="2928"/>
          </w:tcPr>
          <w:p>
            <w:r>
              <w:rPr>
                <w:sz w:val="19"/>
              </w:rPr>
              <w:t>sync</w:t>
            </w:r>
          </w:p>
        </w:tc>
        <w:tc>
          <w:tcPr>
            <w:tcW w:type="dxa" w:w="2928"/>
          </w:tcPr>
          <w:p>
            <w:r>
              <w:rPr>
                <w:sz w:val="19"/>
              </w:rPr>
              <w:t>Service health check</w:t>
            </w:r>
          </w:p>
        </w:tc>
      </w:tr>
      <w:tr>
        <w:tc>
          <w:tcPr>
            <w:tcW w:type="dxa" w:w="2928"/>
          </w:tcPr>
          <w:p>
            <w:r>
              <w:rPr>
                <w:sz w:val="19"/>
              </w:rPr>
              <w:t>GET /api/metadata</w:t>
            </w:r>
          </w:p>
        </w:tc>
        <w:tc>
          <w:tcPr>
            <w:tcW w:type="dxa" w:w="2928"/>
          </w:tcPr>
          <w:p>
            <w:r>
              <w:rPr>
                <w:sz w:val="19"/>
              </w:rPr>
              <w:t>sync</w:t>
            </w:r>
          </w:p>
        </w:tc>
        <w:tc>
          <w:tcPr>
            <w:tcW w:type="dxa" w:w="2928"/>
          </w:tcPr>
          <w:p>
            <w:r>
              <w:rPr>
                <w:sz w:val="19"/>
              </w:rPr>
              <w:t>Grid dimensions, variable list, timestep count</w:t>
            </w:r>
          </w:p>
        </w:tc>
      </w:tr>
      <w:tr>
        <w:tc>
          <w:tcPr>
            <w:tcW w:type="dxa" w:w="2928"/>
          </w:tcPr>
          <w:p>
            <w:r>
              <w:rPr>
                <w:sz w:val="19"/>
              </w:rPr>
              <w:t>POST /api/roi/validate</w:t>
            </w:r>
          </w:p>
        </w:tc>
        <w:tc>
          <w:tcPr>
            <w:tcW w:type="dxa" w:w="2928"/>
          </w:tcPr>
          <w:p>
            <w:r>
              <w:rPr>
                <w:sz w:val="19"/>
              </w:rPr>
              <w:t>sync</w:t>
            </w:r>
          </w:p>
        </w:tc>
        <w:tc>
          <w:tcPr>
            <w:tcW w:type="dxa" w:w="2928"/>
          </w:tcPr>
          <w:p>
            <w:r>
              <w:rPr>
                <w:sz w:val="19"/>
              </w:rPr>
              <w:t>ROI geographic validation + query plan</w:t>
            </w:r>
          </w:p>
        </w:tc>
      </w:tr>
      <w:tr>
        <w:tc>
          <w:tcPr>
            <w:tcW w:type="dxa" w:w="2928"/>
          </w:tcPr>
          <w:p>
            <w:r>
              <w:rPr>
                <w:sz w:val="19"/>
              </w:rPr>
              <w:t>POST /api/derived/density</w:t>
            </w:r>
          </w:p>
        </w:tc>
        <w:tc>
          <w:tcPr>
            <w:tcW w:type="dxa" w:w="2928"/>
          </w:tcPr>
          <w:p>
            <w:r>
              <w:rPr>
                <w:sz w:val="19"/>
              </w:rPr>
              <w:t>sync</w:t>
            </w:r>
          </w:p>
        </w:tc>
        <w:tc>
          <w:tcPr>
            <w:tcW w:type="dxa" w:w="2928"/>
          </w:tcPr>
          <w:p>
            <w:r>
              <w:rPr>
                <w:sz w:val="19"/>
              </w:rPr>
              <w:t>TEOS-10 density + thermohaline fields for ROI</w:t>
            </w:r>
          </w:p>
        </w:tc>
      </w:tr>
      <w:tr>
        <w:tc>
          <w:tcPr>
            <w:tcW w:type="dxa" w:w="2928"/>
          </w:tcPr>
          <w:p>
            <w:r>
              <w:rPr>
                <w:sz w:val="19"/>
              </w:rPr>
              <w:t>POST /api/overview</w:t>
            </w:r>
          </w:p>
        </w:tc>
        <w:tc>
          <w:tcPr>
            <w:tcW w:type="dxa" w:w="2928"/>
          </w:tcPr>
          <w:p>
            <w:r>
              <w:rPr>
                <w:sz w:val="19"/>
              </w:rPr>
              <w:t>sync</w:t>
            </w:r>
          </w:p>
        </w:tc>
        <w:tc>
          <w:tcPr>
            <w:tcW w:type="dxa" w:w="2928"/>
          </w:tcPr>
          <w:p>
            <w:r>
              <w:rPr>
                <w:sz w:val="19"/>
              </w:rPr>
              <w:t>Basin-level σ₀ overview, depth-band stats, mean map</w:t>
            </w:r>
          </w:p>
        </w:tc>
      </w:tr>
      <w:tr>
        <w:tc>
          <w:tcPr>
            <w:tcW w:type="dxa" w:w="2928"/>
          </w:tcPr>
          <w:p>
            <w:r>
              <w:rPr>
                <w:sz w:val="19"/>
              </w:rPr>
              <w:t>POST /api/scene/isopycnal</w:t>
            </w:r>
          </w:p>
        </w:tc>
        <w:tc>
          <w:tcPr>
            <w:tcW w:type="dxa" w:w="2928"/>
          </w:tcPr>
          <w:p>
            <w:r>
              <w:rPr>
                <w:sz w:val="19"/>
              </w:rPr>
              <w:t>async</w:t>
            </w:r>
          </w:p>
        </w:tc>
        <w:tc>
          <w:tcPr>
            <w:tcW w:type="dxa" w:w="2928"/>
          </w:tcPr>
          <w:p>
            <w:r>
              <w:rPr>
                <w:sz w:val="19"/>
              </w:rPr>
              <w:t>Dispatch isopycnal extraction job; returns job_id</w:t>
            </w:r>
          </w:p>
        </w:tc>
      </w:tr>
      <w:tr>
        <w:tc>
          <w:tcPr>
            <w:tcW w:type="dxa" w:w="2928"/>
          </w:tcPr>
          <w:p>
            <w:r>
              <w:rPr>
                <w:sz w:val="19"/>
              </w:rPr>
              <w:t>GET /api/jobs/{id}</w:t>
            </w:r>
          </w:p>
        </w:tc>
        <w:tc>
          <w:tcPr>
            <w:tcW w:type="dxa" w:w="2928"/>
          </w:tcPr>
          <w:p>
            <w:r>
              <w:rPr>
                <w:sz w:val="19"/>
              </w:rPr>
              <w:t>async</w:t>
            </w:r>
          </w:p>
        </w:tc>
        <w:tc>
          <w:tcPr>
            <w:tcW w:type="dxa" w:w="2928"/>
          </w:tcPr>
          <w:p>
            <w:r>
              <w:rPr>
                <w:sz w:val="19"/>
              </w:rPr>
              <w:t>Poll job status + result; status: queued/running/complete/failed</w:t>
            </w:r>
          </w:p>
        </w:tc>
      </w:tr>
    </w:tbl>
    <w:p/>
    <w:p>
      <w:pPr>
        <w:pStyle w:val="Heading2"/>
      </w:pPr>
      <w:r>
        <w:rPr>
          <w:color w:val="2A5A9C"/>
        </w:rPr>
        <w:t>6.4 Interactive Frontend Views</w:t>
      </w:r>
    </w:p>
    <w:p>
      <w:r>
        <w:rPr>
          <w:sz w:val="22"/>
        </w:rPr>
        <w:t>The three linked panels update reactively as the user changes ROI or σ₀:</w:t>
      </w:r>
    </w:p>
    <w:p>
      <w:pPr>
        <w:pStyle w:val="ListBullet"/>
        <w:ind w:left="360"/>
      </w:pPr>
      <w:r>
        <w:rPr>
          <w:sz w:val="21"/>
        </w:rPr>
        <w:t>Overview Map — North Atlantic georeferenced map with OpenStreetMap basemap, σ₀ surface heatmap overlay (viridis, 5th–95th percentile range), ROI bounding box, graticule (10° grid lines), click-to-recenter ROI, viridis color legend, fitBounds zoom on ROI change</w:t>
      </w:r>
    </w:p>
    <w:p>
      <w:pPr>
        <w:pStyle w:val="ListBullet"/>
        <w:ind w:left="360"/>
      </w:pPr>
      <w:r>
        <w:rPr>
          <w:sz w:val="21"/>
        </w:rPr>
        <w:t>Isopycnal View — 3D triangulated isopycnal surface rendered with raw WebGL; orbit controls (drag to rotate, scroll to zoom); vertex coloring by CT, SA, α, or β; viridis color strip with live data min/max range; panel title showing current σ₀ and vertex count; km-space normalization with adaptive vertical exaggeration</w:t>
      </w:r>
    </w:p>
    <w:p>
      <w:pPr>
        <w:pStyle w:val="ListBullet"/>
        <w:ind w:left="360"/>
      </w:pPr>
      <w:r>
        <w:rPr>
          <w:sz w:val="21"/>
        </w:rPr>
        <w:t>T-S Phase Space — Plotly scattergl CT vs SA scatter colored by σ₀; lasso selection updates sigma0Value → triggers new isopycnal job; GPU-accelerated rendering via WebGL backend; automatic 2nd–98th percentile axis clipping; hover shows exact SA, CT, σ₀ values</w:t>
      </w:r>
    </w:p>
    <w:p>
      <w:pPr>
        <w:pStyle w:val="ListBullet"/>
        <w:ind w:left="360"/>
      </w:pPr>
      <w:r>
        <w:rPr>
          <w:sz w:val="21"/>
        </w:rPr>
        <w:t>Control Sidebar — South/North latitude, West/East longitude, surface/bottom depth, timestep (0–10311), σ₀ value with density tier reference (24–26 surface, 26–27.5 thermocline, 27.5–28 deep); color-by selector with field descriptions</w:t>
      </w:r>
    </w:p>
    <w:p>
      <w:pPr>
        <w:pStyle w:val="Heading2"/>
      </w:pPr>
      <w:r>
        <w:rPr>
          <w:color w:val="2A5A9C"/>
        </w:rPr>
        <w:t>6.5 Infrastructure</w:t>
      </w:r>
    </w:p>
    <w:p>
      <w:pPr>
        <w:pStyle w:val="ListBullet"/>
        <w:ind w:left="360"/>
      </w:pPr>
      <w:r>
        <w:rPr>
          <w:sz w:val="21"/>
        </w:rPr>
        <w:t>start.sh — single-command bash launcher: conda env activation, Redis, FastAPI, Celery (concurrency=2), Vite; port-readiness checks; Ctrl-C kills all services</w:t>
      </w:r>
    </w:p>
    <w:p>
      <w:pPr>
        <w:pStyle w:val="ListBullet"/>
        <w:ind w:left="360"/>
      </w:pPr>
      <w:r>
        <w:rPr>
          <w:sz w:val="21"/>
        </w:rPr>
        <w:t>PanelBoundary React error boundary — isolates panel crashes; shows error message with label instead of blanking the full app</w:t>
      </w:r>
    </w:p>
    <w:p>
      <w:pPr>
        <w:pStyle w:val="ListBullet"/>
        <w:ind w:left="360"/>
      </w:pPr>
      <w:r>
        <w:rPr>
          <w:sz w:val="21"/>
        </w:rPr>
        <w:t>StatusBar — shows job lifecycle with color-coded status dot; vertex/face counts on completion; error message on failure</w:t>
      </w:r>
    </w:p>
    <w:p>
      <w:pPr>
        <w:pStyle w:val="ListBullet"/>
        <w:ind w:left="360"/>
      </w:pPr>
      <w:r>
        <w:rPr>
          <w:sz w:val="21"/>
        </w:rPr>
        <w:t>7 pytest test modules covering metadata, ROI validation, density computation, vertical exchange, isopycnal extraction, async jobs, overview endpoint</w:t>
      </w:r>
    </w:p>
    <w:p>
      <w:r>
        <w:br w:type="page"/>
      </w:r>
    </w:p>
    <w:p>
      <w:pPr>
        <w:pStyle w:val="Heading1"/>
      </w:pPr>
      <w:r>
        <w:rPr>
          <w:color w:val="1A3A6C"/>
        </w:rPr>
        <w:t>7. Remaining Work — Weeks 9–12</w:t>
      </w:r>
    </w:p>
    <w:p>
      <w:pPr>
        <w:pStyle w:val="Heading2"/>
      </w:pPr>
      <w:r>
        <w:rPr>
          <w:color w:val="2A5A9C"/>
        </w:rPr>
        <w:t>7.1 Week 9–10: Temporal Analysis</w:t>
      </w:r>
    </w:p>
    <w:p>
      <w:pPr>
        <w:pStyle w:val="ListBullet"/>
        <w:ind w:left="360"/>
      </w:pPr>
      <w:r>
        <w:rPr>
          <w:sz w:val="21"/>
        </w:rPr>
        <w:t>Time slider widget in sidebar — scrub through 10,312 hourly timesteps; keyboard arrow navigation for fine control</w:t>
      </w:r>
    </w:p>
    <w:p>
      <w:pPr>
        <w:pStyle w:val="ListBullet"/>
        <w:ind w:left="360"/>
      </w:pPr>
      <w:r>
        <w:rPr>
          <w:sz w:val="21"/>
        </w:rPr>
        <w:t>Timestep event ranking — score each frame by vertical exchange intensity, σ₀ isopycnal depth variance, and thermohaline compensation magnitude; surface a list of 'high-event' timesteps to guide exploration</w:t>
      </w:r>
    </w:p>
    <w:p>
      <w:pPr>
        <w:pStyle w:val="ListBullet"/>
        <w:ind w:left="360"/>
      </w:pPr>
      <w:r>
        <w:rPr>
          <w:sz w:val="21"/>
        </w:rPr>
        <w:t>Temporal embedding — pre-compute a 2D UMAP/t-SNE projection of per-timestep basin statistics to reveal seasonal cycles and anomaly events</w:t>
      </w:r>
    </w:p>
    <w:p>
      <w:pPr>
        <w:pStyle w:val="ListBullet"/>
        <w:ind w:left="360"/>
      </w:pPr>
      <w:r>
        <w:rPr>
          <w:sz w:val="21"/>
        </w:rPr>
        <w:t>Loop/play mode — auto-advance timestep at configurable speed to animate isopycnal evolution over time</w:t>
      </w:r>
    </w:p>
    <w:p>
      <w:pPr>
        <w:pStyle w:val="Heading2"/>
      </w:pPr>
      <w:r>
        <w:rPr>
          <w:color w:val="2A5A9C"/>
        </w:rPr>
        <w:t>7.2 Week 11–12: Quality and Performance Hardening</w:t>
      </w:r>
    </w:p>
    <w:p>
      <w:pPr>
        <w:pStyle w:val="ListBullet"/>
        <w:ind w:left="360"/>
      </w:pPr>
      <w:r>
        <w:rPr>
          <w:sz w:val="21"/>
        </w:rPr>
        <w:t>Mesh decimation — post-marching-cubes simplification (Quadric Edge Collapse or Open3D SimplificationDecimation) to reduce vertex count by 80–90% with &lt;2% geometric error for real-time rendering</w:t>
      </w:r>
    </w:p>
    <w:p>
      <w:pPr>
        <w:pStyle w:val="ListBullet"/>
        <w:ind w:left="360"/>
      </w:pPr>
      <w:r>
        <w:rPr>
          <w:sz w:val="21"/>
        </w:rPr>
        <w:t>glTF 2.0 export — replace raw JSON mesh transfer with binary glTF; reduces payload 3–5× and enables future three.js / vtk.js migration</w:t>
      </w:r>
    </w:p>
    <w:p>
      <w:pPr>
        <w:pStyle w:val="ListBullet"/>
        <w:ind w:left="360"/>
      </w:pPr>
      <w:r>
        <w:rPr>
          <w:sz w:val="21"/>
        </w:rPr>
        <w:t>Multi-resolution progressive loading — load quality=−12 mesh immediately for fast visual feedback, then refine to quality=−6 in background</w:t>
      </w:r>
    </w:p>
    <w:p>
      <w:pPr>
        <w:pStyle w:val="ListBullet"/>
        <w:ind w:left="360"/>
      </w:pPr>
      <w:r>
        <w:rPr>
          <w:sz w:val="21"/>
        </w:rPr>
        <w:t>Paper-quality figure presets — reproducible screenshot mode locking viewport size, camera angle, color scale, and annotation for contest submission figures</w:t>
      </w:r>
    </w:p>
    <w:p>
      <w:pPr>
        <w:pStyle w:val="ListBullet"/>
        <w:ind w:left="360"/>
      </w:pPr>
      <w:r>
        <w:rPr>
          <w:sz w:val="21"/>
        </w:rPr>
        <w:t>vtk.js renderer option — optionally replace the raw WebGL renderer with vtk.js for ambient occlusion, edge outlines, and volumetric depth cues</w:t>
      </w:r>
    </w:p>
    <w:p>
      <w:pPr>
        <w:pStyle w:val="ListBullet"/>
        <w:ind w:left="360"/>
      </w:pPr>
      <w:r>
        <w:rPr>
          <w:sz w:val="21"/>
        </w:rPr>
        <w:t>Performance benchmarks — measure and report end-to-end latency (submit → render) for standard ROIs at each quality level; establish baseline for contest writeup</w:t>
      </w:r>
    </w:p>
    <w:p>
      <w:pPr>
        <w:pStyle w:val="Heading1"/>
      </w:pPr>
      <w:r>
        <w:rPr>
          <w:color w:val="1A3A6C"/>
        </w:rPr>
        <w:t>8. Known Issues and Current Limitations</w:t>
      </w:r>
    </w:p>
    <w:p>
      <w:pPr>
        <w:pStyle w:val="ListBullet"/>
        <w:ind w:left="360"/>
      </w:pPr>
      <w:r>
        <w:rPr>
          <w:sz w:val="21"/>
        </w:rPr>
        <w:t>ERR_BLOCKED_BY_CLIENT in console — browser ad-blockers block OpenStreetMap tile requests; the map falls back to a dark background with graticule lines only; no functional impact on data visualization</w:t>
      </w:r>
    </w:p>
    <w:p>
      <w:pPr>
        <w:pStyle w:val="ListBullet"/>
        <w:ind w:left="360"/>
      </w:pPr>
      <w:r>
        <w:rPr>
          <w:sz w:val="21"/>
        </w:rPr>
        <w:t>Overview endpoint is basin-scoped (north_atlantic / southern_ocean / equatorial) — the frontend currently hardcodes north_atlantic; a basin selector UI is planned for Week 9</w:t>
      </w:r>
    </w:p>
    <w:p>
      <w:pPr>
        <w:pStyle w:val="ListBullet"/>
        <w:ind w:left="360"/>
      </w:pPr>
      <w:r>
        <w:rPr>
          <w:sz w:val="21"/>
        </w:rPr>
        <w:t>The T-S phase space samples only the surface (depth index 0) for performance; full water column sampling at quality=−9 is feasible but adds ~3 seconds latency</w:t>
      </w:r>
    </w:p>
    <w:p>
      <w:pPr>
        <w:pStyle w:val="ListBullet"/>
        <w:ind w:left="360"/>
      </w:pPr>
      <w:r>
        <w:rPr>
          <w:sz w:val="21"/>
        </w:rPr>
        <w:t>No authentication or rate limiting on API endpoints — acceptable for local single-user contest demo; would need hardening for public deployment</w:t>
      </w:r>
    </w:p>
    <w:p>
      <w:pPr>
        <w:pStyle w:val="ListBullet"/>
        <w:ind w:left="360"/>
      </w:pPr>
      <w:r>
        <w:rPr>
          <w:sz w:val="21"/>
        </w:rPr>
        <w:t>Mesh vertex colors use nearest-neighbor sampling from the density field voxel grid; trilinear interpolation would improve color accuracy at coarse quality levels</w:t>
      </w:r>
    </w:p>
    <w:p>
      <w:pPr>
        <w:pStyle w:val="ListBullet"/>
        <w:ind w:left="360"/>
      </w:pPr>
      <w:r>
        <w:rPr>
          <w:sz w:val="21"/>
        </w:rPr>
        <w:t>WebGL1 context: no ambient occlusion, no anti-aliasing on mesh edges; vtk.js migration in Weeks 11-12 will address this</w:t>
      </w:r>
    </w:p>
    <w:p>
      <w:pPr>
        <w:pStyle w:val="ListBullet"/>
        <w:ind w:left="360"/>
      </w:pPr>
      <w:r>
        <w:rPr>
          <w:sz w:val="21"/>
        </w:rPr>
        <w:t>OpenVisus connection timeout — if the Pelican data server is unreachable, the Celery task fails with a 503 and the status bar shows 'failed'; no automatic retry beyond the initial attempt</w:t>
      </w:r>
    </w:p>
    <w:p>
      <w:r>
        <w:br w:type="page"/>
      </w:r>
    </w:p>
    <w:p>
      <w:pPr>
        <w:pStyle w:val="Heading1"/>
      </w:pPr>
      <w:r>
        <w:rPr>
          <w:color w:val="1A3A6C"/>
        </w:rPr>
        <w:t>9. Notes for Research Paper</w:t>
      </w:r>
    </w:p>
    <w:p>
      <w:pPr>
        <w:pStyle w:val="Heading2"/>
      </w:pPr>
      <w:r>
        <w:rPr>
          <w:color w:val="2A5A9C"/>
        </w:rPr>
        <w:t>9.1 Suggested Contributions to Highlight</w:t>
      </w:r>
    </w:p>
    <w:p>
      <w:pPr>
        <w:pStyle w:val="ListBullet"/>
        <w:ind w:left="360"/>
      </w:pPr>
      <w:r>
        <w:rPr>
          <w:sz w:val="21"/>
        </w:rPr>
        <w:t>Linked multiscale design — overview map + 3D isosurface + T-S phase space are coupled through a shared ROI and σ₀ state; interactions in any panel propagate to all others; this supports the 'overview first, zoom and filter, details on demand' information-seeking mantra at a spatial science scale</w:t>
      </w:r>
    </w:p>
    <w:p>
      <w:pPr>
        <w:pStyle w:val="ListBullet"/>
        <w:ind w:left="360"/>
      </w:pPr>
      <w:r>
        <w:rPr>
          <w:sz w:val="21"/>
        </w:rPr>
        <w:t>T-S brushing as isopycnal targeting — lasso selection in the T-S diagram is a novel interaction for selecting isopycnal surfaces: users identify water masses by their thermohaline signature, then immediately see the corresponding 3D surface in geographic space</w:t>
      </w:r>
    </w:p>
    <w:p>
      <w:pPr>
        <w:pStyle w:val="ListBullet"/>
        <w:ind w:left="360"/>
      </w:pPr>
      <w:r>
        <w:rPr>
          <w:sz w:val="21"/>
        </w:rPr>
        <w:t>Adaptive progressive resolution — the query planner automatically selects the coarsest resolution that fits in 200 MB, enabling interactive response on a dataset that is otherwise terabyte-scale</w:t>
      </w:r>
    </w:p>
    <w:p>
      <w:pPr>
        <w:pStyle w:val="ListBullet"/>
        <w:ind w:left="360"/>
      </w:pPr>
      <w:r>
        <w:rPr>
          <w:sz w:val="21"/>
        </w:rPr>
        <w:t>Thermohaline decomposition overlay — the compensation index and ρ_thermal/ρ_haline fields make the relative contributions of temperature and salinity to density change spatially explicit, directly addressing the contest's thermohaline compensation question</w:t>
      </w:r>
    </w:p>
    <w:p>
      <w:pPr>
        <w:pStyle w:val="Heading2"/>
      </w:pPr>
      <w:r>
        <w:rPr>
          <w:color w:val="2A5A9C"/>
        </w:rPr>
        <w:t>9.2 Related Work to Survey</w:t>
      </w:r>
    </w:p>
    <w:p>
      <w:pPr>
        <w:pStyle w:val="ListBullet"/>
        <w:ind w:left="360"/>
      </w:pPr>
      <w:r>
        <w:rPr>
          <w:sz w:val="21"/>
        </w:rPr>
        <w:t>Laidlaw et al. — flow visualization in oceanography; connected pathlines on isopycnals</w:t>
      </w:r>
    </w:p>
    <w:p>
      <w:pPr>
        <w:pStyle w:val="ListBullet"/>
        <w:ind w:left="360"/>
      </w:pPr>
      <w:r>
        <w:rPr>
          <w:sz w:val="21"/>
        </w:rPr>
        <w:t>Jansen et al. — visual analytics for climate model output; ensemble comparison</w:t>
      </w:r>
    </w:p>
    <w:p>
      <w:pPr>
        <w:pStyle w:val="ListBullet"/>
        <w:ind w:left="360"/>
      </w:pPr>
      <w:r>
        <w:rPr>
          <w:sz w:val="21"/>
        </w:rPr>
        <w:t>Interactive Visualization of Very Large Datasets (ScivisContest historical entries)</w:t>
      </w:r>
    </w:p>
    <w:p>
      <w:pPr>
        <w:pStyle w:val="ListBullet"/>
        <w:ind w:left="360"/>
      </w:pPr>
      <w:r>
        <w:rPr>
          <w:sz w:val="21"/>
        </w:rPr>
        <w:t>Marching Cubes (Lorensen &amp; Cline 1987) — the isosurface extraction algorithm used</w:t>
      </w:r>
    </w:p>
    <w:p>
      <w:pPr>
        <w:pStyle w:val="ListBullet"/>
        <w:ind w:left="360"/>
      </w:pPr>
      <w:r>
        <w:rPr>
          <w:sz w:val="21"/>
        </w:rPr>
        <w:t>TEOS-10 (IOC/SCOR/IAPSO 2010) — standard for conservative ocean thermodynamics</w:t>
      </w:r>
    </w:p>
    <w:p>
      <w:pPr>
        <w:pStyle w:val="ListBullet"/>
        <w:ind w:left="360"/>
      </w:pPr>
      <w:r>
        <w:rPr>
          <w:sz w:val="21"/>
        </w:rPr>
        <w:t>OpenVisus (Bremer et al.) — progressive access framework for very large scientific data</w:t>
      </w:r>
    </w:p>
    <w:p>
      <w:pPr>
        <w:pStyle w:val="ListBullet"/>
        <w:ind w:left="360"/>
      </w:pPr>
      <w:r>
        <w:rPr>
          <w:sz w:val="21"/>
        </w:rPr>
        <w:t>T-S diagrams in oceanography — Helland-Hansen 1916; Mamayev 1975 — classical oceanographic vis</w:t>
      </w:r>
    </w:p>
    <w:p>
      <w:pPr>
        <w:pStyle w:val="ListBullet"/>
        <w:ind w:left="360"/>
      </w:pPr>
      <w:r>
        <w:rPr>
          <w:sz w:val="21"/>
        </w:rPr>
        <w:t>Ninnemann &amp; Charles — Southern Ocean water mass formation; context for VE score interpretation</w:t>
      </w:r>
    </w:p>
    <w:p>
      <w:pPr>
        <w:pStyle w:val="Heading2"/>
      </w:pPr>
      <w:r>
        <w:rPr>
          <w:color w:val="2A5A9C"/>
        </w:rPr>
        <w:t>9.3 Figures to Generate for the Paper</w:t>
      </w:r>
    </w:p>
    <w:p>
      <w:pPr>
        <w:pStyle w:val="ListBullet"/>
        <w:ind w:left="360"/>
      </w:pPr>
      <w:r>
        <w:rPr>
          <w:sz w:val="21"/>
        </w:rPr>
        <w:t>Figure 1: System architecture diagram (data flow from OpenVisus → Celery → API → frontend)</w:t>
      </w:r>
    </w:p>
    <w:p>
      <w:pPr>
        <w:pStyle w:val="ListBullet"/>
        <w:ind w:left="360"/>
      </w:pPr>
      <w:r>
        <w:rPr>
          <w:sz w:val="21"/>
        </w:rPr>
        <w:t>Figure 2: Side-by-side screenshots of the three panels for a canonical North Atlantic ROI</w:t>
      </w:r>
    </w:p>
    <w:p>
      <w:pPr>
        <w:pStyle w:val="ListBullet"/>
        <w:ind w:left="360"/>
      </w:pPr>
      <w:r>
        <w:rPr>
          <w:sz w:val="21"/>
        </w:rPr>
        <w:t>Figure 3: T-S diagram with lasso selection highlighted; corresponding σ₀ surface shown in the isopycnal panel — illustrating the brushing interaction</w:t>
      </w:r>
    </w:p>
    <w:p>
      <w:pPr>
        <w:pStyle w:val="ListBullet"/>
        <w:ind w:left="360"/>
      </w:pPr>
      <w:r>
        <w:rPr>
          <w:sz w:val="21"/>
        </w:rPr>
        <w:t>Figure 4: Thermohaline compensation map (overview panel) with σ₀ 27.0 surface showing Gulf Stream cross-section</w:t>
      </w:r>
    </w:p>
    <w:p>
      <w:pPr>
        <w:pStyle w:val="ListBullet"/>
        <w:ind w:left="360"/>
      </w:pPr>
      <w:r>
        <w:rPr>
          <w:sz w:val="21"/>
        </w:rPr>
        <w:t>Figure 5: Temporal sequence (3–4 timesteps) showing isopycnal depth evolution at a single ROI — illustrating the temporal analysis planned for Weeks 9–10</w:t>
      </w:r>
    </w:p>
    <w:p>
      <w:pPr>
        <w:pStyle w:val="ListBullet"/>
        <w:ind w:left="360"/>
      </w:pPr>
      <w:r>
        <w:rPr>
          <w:sz w:val="21"/>
        </w:rPr>
        <w:t>Figure 6: Vertical exchange score map highlighting upwelling regions in the Southern Ocean vs stratified tropics</w:t>
      </w:r>
    </w:p>
    <w:p>
      <w:pPr>
        <w:pStyle w:val="Heading2"/>
      </w:pPr>
      <w:r>
        <w:rPr>
          <w:color w:val="2A5A9C"/>
        </w:rPr>
        <w:t>9.4 Metrics to Collect</w:t>
      </w:r>
    </w:p>
    <w:p>
      <w:pPr>
        <w:pStyle w:val="ListBullet"/>
        <w:ind w:left="360"/>
      </w:pPr>
      <w:r>
        <w:rPr>
          <w:sz w:val="21"/>
        </w:rPr>
        <w:t>End-to-end latency: submit → render, for quality=−9, −6, −3 at three ROI sizes</w:t>
      </w:r>
    </w:p>
    <w:p>
      <w:pPr>
        <w:pStyle w:val="ListBullet"/>
        <w:ind w:left="360"/>
      </w:pPr>
      <w:r>
        <w:rPr>
          <w:sz w:val="21"/>
        </w:rPr>
        <w:t>Vertex/face counts for representative isopycnal surfaces across σ₀ levels</w:t>
      </w:r>
    </w:p>
    <w:p>
      <w:pPr>
        <w:pStyle w:val="ListBullet"/>
        <w:ind w:left="360"/>
      </w:pPr>
      <w:r>
        <w:rPr>
          <w:sz w:val="21"/>
        </w:rPr>
        <w:t>Data transfer size: raw JSON vs planned glTF binary encoding</w:t>
      </w:r>
    </w:p>
    <w:p>
      <w:pPr>
        <w:pStyle w:val="ListBullet"/>
        <w:ind w:left="360"/>
      </w:pPr>
      <w:r>
        <w:rPr>
          <w:sz w:val="21"/>
        </w:rPr>
        <w:t>Cache hit rate after first overview load (should be ~100% for same basin+timestep)</w:t>
      </w:r>
    </w:p>
    <w:p>
      <w:pPr>
        <w:pStyle w:val="Heading1"/>
      </w:pPr>
      <w:r>
        <w:rPr>
          <w:color w:val="1A3A6C"/>
        </w:rPr>
        <w:t>10. Repository and Environment</w:t>
      </w:r>
    </w:p>
    <w:p>
      <w:pPr>
        <w:pStyle w:val="Heading2"/>
      </w:pPr>
      <w:r>
        <w:rPr>
          <w:color w:val="2A5A9C"/>
        </w:rPr>
        <w:t>10.1 Repository Structure</w:t>
      </w:r>
    </w:p>
    <w:p>
      <w:pPr>
        <w:ind w:left="576"/>
      </w:pPr>
      <w:r>
        <w:rPr>
          <w:rFonts w:ascii="Courier New" w:hAnsi="Courier New"/>
          <w:color w:val="1A4A2A"/>
          <w:sz w:val="18"/>
        </w:rPr>
        <w:t>SciVis-2026-3D-Ocean-Circulation/</w:t>
      </w:r>
    </w:p>
    <w:p>
      <w:pPr>
        <w:ind w:left="576"/>
      </w:pPr>
      <w:r>
        <w:rPr>
          <w:rFonts w:ascii="Courier New" w:hAnsi="Courier New"/>
          <w:color w:val="1A4A2A"/>
          <w:sz w:val="18"/>
        </w:rPr>
        <w:t xml:space="preserve">  thalassa/</w:t>
      </w:r>
    </w:p>
    <w:p>
      <w:pPr>
        <w:ind w:left="576"/>
      </w:pPr>
      <w:r>
        <w:rPr>
          <w:rFonts w:ascii="Courier New" w:hAnsi="Courier New"/>
          <w:color w:val="1A4A2A"/>
          <w:sz w:val="18"/>
        </w:rPr>
        <w:t xml:space="preserve">    backend/          Python backend (~2,000 lines)</w:t>
      </w:r>
    </w:p>
    <w:p>
      <w:pPr>
        <w:ind w:left="576"/>
      </w:pPr>
      <w:r>
        <w:rPr>
          <w:rFonts w:ascii="Courier New" w:hAnsi="Courier New"/>
          <w:color w:val="1A4A2A"/>
          <w:sz w:val="18"/>
        </w:rPr>
        <w:t xml:space="preserve">    frontend/         React/TypeScript frontend (~1,200 lines)</w:t>
      </w:r>
    </w:p>
    <w:p>
      <w:pPr>
        <w:ind w:left="576"/>
      </w:pPr>
      <w:r>
        <w:rPr>
          <w:rFonts w:ascii="Courier New" w:hAnsi="Courier New"/>
          <w:color w:val="1A4A2A"/>
          <w:sz w:val="18"/>
        </w:rPr>
        <w:t xml:space="preserve">  docs/THALASSA_PRD.md   Product requirements document</w:t>
      </w:r>
    </w:p>
    <w:p>
      <w:pPr>
        <w:ind w:left="576"/>
      </w:pPr>
      <w:r>
        <w:rPr>
          <w:rFonts w:ascii="Courier New" w:hAnsi="Courier New"/>
          <w:color w:val="1A4A2A"/>
          <w:sz w:val="18"/>
        </w:rPr>
        <w:t xml:space="preserve">  figures/              Verification and analysis figures</w:t>
      </w:r>
    </w:p>
    <w:p>
      <w:pPr>
        <w:ind w:left="576"/>
      </w:pPr>
      <w:r>
        <w:rPr>
          <w:rFonts w:ascii="Courier New" w:hAnsi="Courier New"/>
          <w:color w:val="1A4A2A"/>
          <w:sz w:val="18"/>
        </w:rPr>
        <w:t xml:space="preserve">  notebooks/            Exploratory analysis (OpenVisus, density prototype)</w:t>
      </w:r>
    </w:p>
    <w:p>
      <w:pPr>
        <w:ind w:left="576"/>
      </w:pPr>
      <w:r>
        <w:rPr>
          <w:rFonts w:ascii="Courier New" w:hAnsi="Courier New"/>
          <w:color w:val="1A4A2A"/>
          <w:sz w:val="18"/>
        </w:rPr>
        <w:t xml:space="preserve">  graphify-out/         Knowledge graph (673 nodes, 1094 edges)</w:t>
      </w:r>
    </w:p>
    <w:p>
      <w:pPr>
        <w:ind w:left="576"/>
      </w:pPr>
      <w:r>
        <w:rPr>
          <w:rFonts w:ascii="Courier New" w:hAnsi="Courier New"/>
          <w:color w:val="1A4A2A"/>
          <w:sz w:val="18"/>
        </w:rPr>
        <w:t xml:space="preserve">  start.sh              Single-command launcher</w:t>
      </w:r>
    </w:p>
    <w:p>
      <w:pPr>
        <w:ind w:left="576"/>
      </w:pPr>
      <w:r>
        <w:rPr>
          <w:rFonts w:ascii="Courier New" w:hAnsi="Courier New"/>
          <w:color w:val="1A4A2A"/>
          <w:sz w:val="18"/>
        </w:rPr>
        <w:t xml:space="preserve">  CLAUDE.md             Code review graph instructions for AI assistant</w:t>
      </w:r>
    </w:p>
    <w:p>
      <w:pPr>
        <w:pStyle w:val="Heading2"/>
      </w:pPr>
      <w:r>
        <w:rPr>
          <w:color w:val="2A5A9C"/>
        </w:rPr>
        <w:t>10.2 Python Environment</w:t>
      </w:r>
    </w:p>
    <w:p>
      <w:pPr>
        <w:pStyle w:val="ListBullet"/>
        <w:ind w:left="360"/>
      </w:pPr>
      <w:r>
        <w:rPr>
          <w:sz w:val="21"/>
        </w:rPr>
        <w:t>Conda environment: ocean (Python 3.11)</w:t>
      </w:r>
    </w:p>
    <w:p>
      <w:pPr>
        <w:pStyle w:val="ListBullet"/>
        <w:ind w:left="360"/>
      </w:pPr>
      <w:r>
        <w:rPr>
          <w:sz w:val="21"/>
        </w:rPr>
        <w:t>Key packages: openvisus, gsw, scikit-image, fastapi, celery, redis, numpy, scipy</w:t>
      </w:r>
    </w:p>
    <w:p>
      <w:pPr>
        <w:pStyle w:val="ListBullet"/>
        <w:ind w:left="360"/>
      </w:pPr>
      <w:r>
        <w:rPr>
          <w:sz w:val="21"/>
        </w:rPr>
        <w:t>Node.js: 20+ (for Vite/React frontend)</w:t>
      </w:r>
    </w:p>
    <w:p>
      <w:pPr>
        <w:pStyle w:val="Heading2"/>
      </w:pPr>
      <w:r>
        <w:rPr>
          <w:color w:val="2A5A9C"/>
        </w:rPr>
        <w:t>10.3 Git History Summary</w:t>
      </w:r>
    </w:p>
    <w:p>
      <w:pPr>
        <w:pStyle w:val="ListBullet"/>
        <w:ind w:left="360"/>
      </w:pPr>
      <w:r>
        <w:rPr>
          <w:sz w:val="21"/>
        </w:rPr>
        <w:t>feat(week1-2): LLC4320Reader, depth levels, verification + density prototype</w:t>
      </w:r>
    </w:p>
    <w:p>
      <w:pPr>
        <w:pStyle w:val="ListBullet"/>
        <w:ind w:left="360"/>
      </w:pPr>
      <w:r>
        <w:rPr>
          <w:sz w:val="21"/>
        </w:rPr>
        <w:t>feat(week3-4): ROI query + density endpoints, query planner, Redis cache</w:t>
      </w:r>
    </w:p>
    <w:p>
      <w:pPr>
        <w:pStyle w:val="ListBullet"/>
        <w:ind w:left="360"/>
      </w:pPr>
      <w:r>
        <w:rPr>
          <w:sz w:val="21"/>
        </w:rPr>
        <w:t>feat(week5-6): Vertical exchange score, isopycnal scene, overview, async jobs</w:t>
      </w:r>
    </w:p>
    <w:p>
      <w:pPr>
        <w:pStyle w:val="ListBullet"/>
        <w:ind w:left="360"/>
      </w:pPr>
      <w:r>
        <w:rPr>
          <w:sz w:val="21"/>
        </w:rPr>
        <w:t>feat(week7-8): Linked 3-panel frontend — overview map, 3D isopycnal, T-S phase space</w:t>
      </w:r>
    </w:p>
    <w:p>
      <w:pPr>
        <w:pStyle w:val="ListBullet"/>
        <w:ind w:left="360"/>
      </w:pPr>
      <w:r>
        <w:rPr>
          <w:sz w:val="21"/>
        </w:rPr>
        <w:t>fix(workers): Resolve ModuleNotFoundError in Celery forked workers</w:t>
      </w:r>
    </w:p>
    <w:p>
      <w:pPr>
        <w:pStyle w:val="ListBullet"/>
        <w:ind w:left="360"/>
      </w:pPr>
      <w:r>
        <w:rPr>
          <w:sz w:val="21"/>
        </w:rPr>
        <w:t>fix(frontend): WebGL UNSIGNED_INT, overview 422 schema mismatch, layout sizing</w:t>
      </w:r>
    </w:p>
    <w:p>
      <w:pPr>
        <w:pStyle w:val="ListBullet"/>
        <w:ind w:left="360"/>
      </w:pPr>
      <w:r>
        <w:rPr>
          <w:sz w:val="21"/>
        </w:rPr>
        <w:t>feat(ui): Color legends, panel titles, explanatory labels, color scheme</w:t>
      </w:r>
    </w:p>
    <w:p>
      <w:r>
        <w:br w:type="page"/>
      </w:r>
    </w:p>
    <w:p>
      <w:pPr>
        <w:pBdr>
          <w:bottom w:val="single" w:sz="6" w:space="1" w:color="AAAAAA"/>
        </w:pBdr>
      </w:pPr>
    </w:p>
    <w:p>
      <w:pPr>
        <w:jc w:val="center"/>
      </w:pPr>
      <w:r>
        <w:rPr>
          <w:i/>
          <w:color w:val="999999"/>
          <w:sz w:val="18"/>
        </w:rPr>
        <w:t>Document version 0.8  ·  Generated April 22, 2026  ·  To be updated as Weeks 9–12 are completed</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