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Sample 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Test Scenario</w:t>
            </w:r>
          </w:p>
        </w:tc>
        <w:tc>
          <w:tcPr>
            <w:tcW w:type="dxa" w:w="1728"/>
          </w:tcPr>
          <w:p>
            <w:r>
              <w:t>Steps to Execute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TC-001</w:t>
            </w:r>
          </w:p>
        </w:tc>
        <w:tc>
          <w:tcPr>
            <w:tcW w:type="dxa" w:w="1728"/>
          </w:tcPr>
          <w:p>
            <w:r>
              <w:t>Login with valid credentials</w:t>
            </w:r>
          </w:p>
        </w:tc>
        <w:tc>
          <w:tcPr>
            <w:tcW w:type="dxa" w:w="1728"/>
          </w:tcPr>
          <w:p>
            <w:r>
              <w:t>1. Go to login</w:t>
              <w:br/>
              <w:t>2. Enter valid credentials</w:t>
              <w:br/>
              <w:t>3. Click login</w:t>
            </w:r>
          </w:p>
        </w:tc>
        <w:tc>
          <w:tcPr>
            <w:tcW w:type="dxa" w:w="1728"/>
          </w:tcPr>
          <w:p>
            <w:r>
              <w:t>User is successfully logged in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TC-002</w:t>
            </w:r>
          </w:p>
        </w:tc>
        <w:tc>
          <w:tcPr>
            <w:tcW w:type="dxa" w:w="1728"/>
          </w:tcPr>
          <w:p>
            <w:r>
              <w:t>Reset password flow</w:t>
            </w:r>
          </w:p>
        </w:tc>
        <w:tc>
          <w:tcPr>
            <w:tcW w:type="dxa" w:w="1728"/>
          </w:tcPr>
          <w:p>
            <w:r>
              <w:t>1. Click forgot password</w:t>
              <w:br/>
              <w:t>2. Enter email</w:t>
              <w:br/>
              <w:t>3. Submit</w:t>
            </w:r>
          </w:p>
        </w:tc>
        <w:tc>
          <w:tcPr>
            <w:tcW w:type="dxa" w:w="1728"/>
          </w:tcPr>
          <w:p>
            <w:r>
              <w:t>Reset link sent to email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