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tcpc-network-combined-revenue-forecast"/>
    <w:p>
      <w:pPr>
        <w:pStyle w:val="Heading1"/>
      </w:pPr>
      <w:r>
        <w:t xml:space="preserve">BTCPC Network — Combined Revenue Forecast</w:t>
      </w:r>
    </w:p>
    <w:p>
      <w:pPr>
        <w:pStyle w:val="FirstParagraph"/>
      </w:pPr>
      <w:r>
        <w:rPr>
          <w:bCs/>
          <w:b/>
        </w:rPr>
        <w:t xml:space="preserve">All Services: Sensors + Storage + Inference + Commerce + Cross-Chain</w:t>
      </w:r>
      <w:r>
        <w:t xml:space="preserve"> </w:t>
      </w:r>
      <w:r>
        <w:rPr>
          <w:iCs/>
          <w:i/>
        </w:rPr>
        <w:t xml:space="preserve">Shin Devlin — April 2026</w:t>
      </w:r>
    </w:p>
    <w:p>
      <w:r>
        <w:pict>
          <v:rect style="width:0;height:1.5pt" o:hralign="center" o:hrstd="t" o:hr="t"/>
        </w:pict>
      </w:r>
    </w:p>
    <w:bookmarkStart w:id="20" w:name="what-weve-built"/>
    <w:p>
      <w:pPr>
        <w:pStyle w:val="Heading2"/>
      </w:pPr>
      <w:r>
        <w:t xml:space="preserve">What We’ve Built</w:t>
      </w:r>
    </w:p>
    <w:p>
      <w:pPr>
        <w:pStyle w:val="FirstParagraph"/>
      </w:pPr>
      <w:r>
        <w:t xml:space="preserve">BTCPC is not a single product. Every device and node on the network earns from multiple services simultaneously. The protocol takes a small cut of each: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data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devices sell hyperlocal air quality, weather, seismic, noise, and mobility data to B2B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data sale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Miners run verified LLM inference jobs (Ollama, any model) and earn per token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job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Decentralized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store encrypted files and blobs, earn per epoch, challenged for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storage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Cross-chain service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Consumers on ETH/Solana pay for inference and storage in native tokens; provider earns on their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escrow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wBTCPC mint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cross-chain credit claim costs 0.001 BTCPC on-chain + 0.0001 ETH on destination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mint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marketplace for digital and physical goods, escrow-secured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of GMV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 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BTCPC account names auctioned on-chain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auction proceeds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User-issued tokens on BTCPC chain (42M supply, 10 decimals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flat BTCPC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relay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and Macro nodes earn relay fees for forwarding Micro device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per-packet fee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he-flywheel"/>
    <w:p>
      <w:pPr>
        <w:pStyle w:val="Heading2"/>
      </w:pPr>
      <w:r>
        <w:t xml:space="preserve">The Flywheel</w:t>
      </w:r>
    </w:p>
    <w:p>
      <w:pPr>
        <w:pStyle w:val="FirstParagraph"/>
      </w:pPr>
      <w:r>
        <w:t xml:space="preserve">These services are not independent. They reinforce each other:</w:t>
      </w:r>
    </w:p>
    <w:p>
      <w:pPr>
        <w:pStyle w:val="SourceCode"/>
      </w:pPr>
      <w:r>
        <w:rPr>
          <w:rStyle w:val="VerbatimChar"/>
        </w:rPr>
        <w:t xml:space="preserve">More devices deployed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More sensor data → higher B2B data value → more BTCPC rewards to owners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More owners → more staked BTCPC → more Epoch Bandwidth → more operations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More inference demand → more miners → more verified compute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More storage → more blobs → more cross-chain data access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Cross-chain wBTCPC → more chains → more users → more devices deployed</w:t>
      </w:r>
    </w:p>
    <w:p>
      <w:pPr>
        <w:pStyle w:val="FirstParagraph"/>
      </w:pPr>
      <w:r>
        <w:t xml:space="preserve">A device owner who buys a General (~$220) earns from sensors, relay fees, and cross-chain credits simultaneously. A Macro owner earns from all nine revenue categories at once. Every participant has a financial incentive to grow the network.</w:t>
      </w:r>
    </w:p>
    <w:p>
      <w:r>
        <w:pict>
          <v:rect style="width:0;height:1.5pt" o:hralign="center" o:hrstd="t" o:hr="t"/>
        </w:pict>
      </w:r>
    </w:p>
    <w:bookmarkEnd w:id="21"/>
    <w:bookmarkStart w:id="29" w:name="market-sizing-per-service"/>
    <w:p>
      <w:pPr>
        <w:pStyle w:val="Heading2"/>
      </w:pPr>
      <w:r>
        <w:t xml:space="preserve">Market Sizing Per Service</w:t>
      </w:r>
    </w:p>
    <w:bookmarkStart w:id="22" w:name="sensor-data-marketplace"/>
    <w:p>
      <w:pPr>
        <w:pStyle w:val="Heading3"/>
      </w:pPr>
      <w:r>
        <w:t xml:space="preserve">1. Sensor Data Marketplace</w:t>
      </w:r>
    </w:p>
    <w:p>
      <w:pPr>
        <w:pStyle w:val="FirstParagraph"/>
      </w:pPr>
      <w:r>
        <w:rPr>
          <w:bCs/>
          <w:b/>
        </w:rPr>
        <w:t xml:space="preserve">Comparable markets:</w:t>
      </w:r>
      <w:r>
        <w:t xml:space="preserve"> </w:t>
      </w:r>
      <w:r>
        <w:t xml:space="preserve">- PurpleAir (70k air quality sensors) — acquired ~$25M</w:t>
      </w:r>
      <w:r>
        <w:t xml:space="preserve"> </w:t>
      </w:r>
      <w:r>
        <w:t xml:space="preserve">- Tomorrow.io (hyperlocal weather) — raised $200M</w:t>
      </w:r>
      <w:r>
        <w:t xml:space="preserve"> </w:t>
      </w:r>
      <w:r>
        <w:t xml:space="preserve">- WeatherFlow/Tempest (50k weather stations) — valued ~$30M</w:t>
      </w:r>
      <w:r>
        <w:t xml:space="preserve"> </w:t>
      </w:r>
      <w:r>
        <w:t xml:space="preserve">- HERE Technologies (mobility data) — valued ~$1B; pays ~$2/device/month for GPS probe data</w:t>
      </w:r>
    </w:p>
    <w:p>
      <w:pPr>
        <w:pStyle w:val="BodyText"/>
      </w:pPr>
      <w:r>
        <w:rPr>
          <w:bCs/>
          <w:b/>
        </w:rPr>
        <w:t xml:space="preserve">What makes BTCPC different:</w:t>
      </w:r>
      <w:r>
        <w:t xml:space="preserve"> </w:t>
      </w:r>
      <w:r>
        <w:t xml:space="preserve">10 sensor categories per device vs. 1–2 for competitors. Every device contributes air quality, weather, noise, light, seismic, and mobility data simultaneously.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B2B API subscriptions + per-query pricing. Protocol sells the data, pays 70% to device owners as BTCPC rewards, retains 30%.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9"/>
        <w:gridCol w:w="1584"/>
        <w:gridCol w:w="2112"/>
        <w:gridCol w:w="2112"/>
        <w:gridCol w:w="1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value/device/yr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data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$7.92M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$2.38M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$13.35M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i-inference-mining"/>
    <w:p>
      <w:pPr>
        <w:pStyle w:val="Heading3"/>
      </w:pPr>
      <w:r>
        <w:t xml:space="preserve">2. AI Inference (Mining)</w:t>
      </w:r>
    </w:p>
    <w:p>
      <w:pPr>
        <w:pStyle w:val="FirstParagraph"/>
      </w:pPr>
      <w:r>
        <w:rPr>
          <w:bCs/>
          <w:b/>
        </w:rPr>
        <w:t xml:space="preserve">Comparable markets:</w:t>
      </w:r>
      <w:r>
        <w:t xml:space="preserve"> </w:t>
      </w:r>
      <w:r>
        <w:t xml:space="preserve">- Global AI inference market: $25B (2024), projected $200B+ by 2030</w:t>
      </w:r>
      <w:r>
        <w:t xml:space="preserve"> </w:t>
      </w:r>
      <w:r>
        <w:t xml:space="preserve">- Decentralized compute: Akash Network (~$5M ARR), io.net, Gensyn, Bittensor</w:t>
      </w:r>
      <w:r>
        <w:t xml:space="preserve"> </w:t>
      </w:r>
      <w:r>
        <w:t xml:space="preserve">- A single consumer GPU (RTX 4090) earns $50–300/month running inference on centralized platforms</w:t>
      </w:r>
    </w:p>
    <w:p>
      <w:pPr>
        <w:pStyle w:val="BodyText"/>
      </w:pPr>
      <w:r>
        <w:rPr>
          <w:bCs/>
          <w:b/>
        </w:rPr>
        <w:t xml:space="preserve">What makes BTCPC different:</w:t>
      </w:r>
      <w:r>
        <w:t xml:space="preserve"> </w:t>
      </w:r>
      <w:r>
        <w:t xml:space="preserve">Proof-of-compute is the consensus mechanism. Every inference job is independently verified by verifier nodes running the same prompt. Work is provable, not self-reported.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10% protocol fee on every settled inference job. Escrow system already built — requestor locks BTCPC, miner completes job, verifier confirms, escrow releases minus protocol fee.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7"/>
        <w:gridCol w:w="1274"/>
        <w:gridCol w:w="2366"/>
        <w:gridCol w:w="1729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miner earnings/month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job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10%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$12M</w:t>
            </w:r>
          </w:p>
        </w:tc>
      </w:tr>
    </w:tbl>
    <w:p>
      <w:pPr>
        <w:pStyle w:val="BodyText"/>
      </w:pPr>
      <w:r>
        <w:rPr>
          <w:iCs/>
          <w:i/>
        </w:rPr>
        <w:t xml:space="preserve">Miner earnings grow as more compute buyers enter the network. Cross-chain payments (ETH/SOL paying for BTCPC inference) add 20–30% additional volume on top.</w:t>
      </w:r>
    </w:p>
    <w:p>
      <w:r>
        <w:pict>
          <v:rect style="width:0;height:1.5pt" o:hralign="center" o:hrstd="t" o:hr="t"/>
        </w:pict>
      </w:r>
    </w:p>
    <w:bookmarkEnd w:id="23"/>
    <w:bookmarkStart w:id="24" w:name="decentralized-storage-btcpc-fs"/>
    <w:p>
      <w:pPr>
        <w:pStyle w:val="Heading3"/>
      </w:pPr>
      <w:r>
        <w:t xml:space="preserve">3. Decentralized Storage (BTCPC-FS)</w:t>
      </w:r>
    </w:p>
    <w:p>
      <w:pPr>
        <w:pStyle w:val="FirstParagraph"/>
      </w:pPr>
      <w:r>
        <w:rPr>
          <w:bCs/>
          <w:b/>
        </w:rPr>
        <w:t xml:space="preserve">Comparable markets:</w:t>
      </w:r>
      <w:r>
        <w:t xml:space="preserve"> </w:t>
      </w:r>
      <w:r>
        <w:t xml:space="preserve">- Filecoin: ~$250M raised; charges ~$0.002/GB/month</w:t>
      </w:r>
      <w:r>
        <w:t xml:space="preserve"> </w:t>
      </w:r>
      <w:r>
        <w:t xml:space="preserve">- Storj: pays hosts ~$1.50/TB/month; charges users ~$4/TB/month</w:t>
      </w:r>
      <w:r>
        <w:t xml:space="preserve"> </w:t>
      </w:r>
      <w:r>
        <w:t xml:space="preserve">- Arweave: permanent storage, ~$5 per GB</w:t>
      </w:r>
      <w:r>
        <w:t xml:space="preserve"> </w:t>
      </w:r>
      <w:r>
        <w:t xml:space="preserve">- AWS S3: $0.023/GB/month</w:t>
      </w:r>
    </w:p>
    <w:p>
      <w:pPr>
        <w:pStyle w:val="BodyText"/>
      </w:pPr>
      <w:r>
        <w:rPr>
          <w:bCs/>
          <w:b/>
        </w:rPr>
        <w:t xml:space="preserve">What makes BTCPC different:</w:t>
      </w:r>
      <w:r>
        <w:t xml:space="preserve"> </w:t>
      </w:r>
      <w:r>
        <w:t xml:space="preserve">Reputation-based host selection with settlement lag (no slashing — bad hosts just lose revenue). Encrypted split-shard storage with quantum-resistant unlinkable shards. Files replicated across minimum 3 hosts automatically.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15% protocol cut on storage payments. Storage hosts receive 85%.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1"/>
        <w:gridCol w:w="1061"/>
        <w:gridCol w:w="1061"/>
        <w:gridCol w:w="1796"/>
        <w:gridCol w:w="1714"/>
        <w:gridCol w:w="17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network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storage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15%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$360k</w:t>
            </w:r>
          </w:p>
        </w:tc>
      </w:tr>
    </w:tbl>
    <w:p>
      <w:pPr>
        <w:pStyle w:val="BodyText"/>
      </w:pPr>
      <w:r>
        <w:rPr>
          <w:iCs/>
          <w:i/>
        </w:rPr>
        <w:t xml:space="preserve">Storage revenue is modest early — it requires data buyers, not just hosts. Grows significantly when inference outputs, sensor archives, and commerce product files are stored on BTCPC-FS.</w:t>
      </w:r>
    </w:p>
    <w:p>
      <w:r>
        <w:pict>
          <v:rect style="width:0;height:1.5pt" o:hralign="center" o:hrstd="t" o:hr="t"/>
        </w:pict>
      </w:r>
    </w:p>
    <w:bookmarkEnd w:id="24"/>
    <w:bookmarkStart w:id="25" w:name="cross-chain-service-payments"/>
    <w:p>
      <w:pPr>
        <w:pStyle w:val="Heading3"/>
      </w:pPr>
      <w:r>
        <w:t xml:space="preserve">4. Cross-Chain Service Payments</w:t>
      </w:r>
    </w:p>
    <w:p>
      <w:pPr>
        <w:pStyle w:val="FirstParagraph"/>
      </w:pPr>
      <w:r>
        <w:rPr>
          <w:bCs/>
          <w:b/>
        </w:rPr>
        <w:t xml:space="preserve">The model:</w:t>
      </w:r>
      <w:r>
        <w:t xml:space="preserve"> </w:t>
      </w:r>
      <w:r>
        <w:t xml:space="preserve">A user on Ethereum wants inference or storage. They escrow ETH/USDC in a smart contract on Ethereum. The BTCPC verifier quorum confirms work was done and signs a settlement transaction. ETH releases to the provider’s Ethereum address. BTCPC chain issues block rewards as normal. The provider earns twice.</w:t>
      </w:r>
    </w:p>
    <w:p>
      <w:pPr>
        <w:pStyle w:val="BodyText"/>
      </w:pPr>
      <w:r>
        <w:rPr>
          <w:bCs/>
          <w:b/>
        </w:rPr>
        <w:t xml:space="preserve">Protocol revenue:</w:t>
      </w:r>
      <w:r>
        <w:t xml:space="preserve"> </w:t>
      </w:r>
      <w:r>
        <w:t xml:space="preserve">5% of cross-chain escrow volume.</w:t>
      </w:r>
    </w:p>
    <w:p>
      <w:pPr>
        <w:pStyle w:val="BodyText"/>
      </w:pPr>
      <w:r>
        <w:t xml:space="preserve">This is an additive layer on top of inference and storage — it doesn’t replace BTCPC-native payments, it adds ETH/SOL/etc. volume from users who never touch the BTCPC chain directly.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Cross-chain escrow volume/month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5%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wbtcpc-cross-chain-mint-fees"/>
    <w:p>
      <w:pPr>
        <w:pStyle w:val="Heading3"/>
      </w:pPr>
      <w:r>
        <w:t xml:space="preserve">5. wBTCPC Cross-Chain Mint Fees</w:t>
      </w:r>
    </w:p>
    <w:p>
      <w:pPr>
        <w:pStyle w:val="FirstParagraph"/>
      </w:pPr>
      <w:r>
        <w:t xml:space="preserve">Every time a device owner claims their accumulated wBTCPC credits: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0.001 BTCPC</w:t>
      </w:r>
      <w:r>
        <w:t xml:space="preserve"> </w:t>
      </w:r>
      <w:r>
        <w:t xml:space="preserve">on the BTCPC chain (routing to btcpc_recycle pool)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0.0001 ETH</w:t>
      </w:r>
      <w:r>
        <w:t xml:space="preserve"> </w:t>
      </w:r>
      <w:r>
        <w:t xml:space="preserve">(or equivalent) on the destination chain (split 50/50 treasury/staker pool)</w:t>
      </w:r>
    </w:p>
    <w:p>
      <w:pPr>
        <w:pStyle w:val="BodyText"/>
      </w:pPr>
      <w:r>
        <w:t xml:space="preserve">10 supported chains: Ethereum, Base, Arbitrum, Optimism, Solana, TON, Bitcoin, Hive, BSC, Polygon.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BTCPC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ETH-equivalent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BTCPC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BTCPC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BTCPC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~$50k</w:t>
            </w:r>
          </w:p>
        </w:tc>
      </w:tr>
    </w:tbl>
    <w:p>
      <w:pPr>
        <w:pStyle w:val="BodyText"/>
      </w:pPr>
      <w:r>
        <w:rPr>
          <w:iCs/>
          <w:i/>
        </w:rPr>
        <w:t xml:space="preserve">Mint fees are not a major revenue line — they exist for spam prevention. Their value is in the btcpc_recycle pool and staker pool, which fund ongoing rewards.</w:t>
      </w:r>
    </w:p>
    <w:p>
      <w:r>
        <w:pict>
          <v:rect style="width:0;height:1.5pt" o:hralign="center" o:hrstd="t" o:hr="t"/>
        </w:pict>
      </w:r>
    </w:p>
    <w:bookmarkEnd w:id="26"/>
    <w:bookmarkStart w:id="27" w:name="commerce-digital-physical-goods"/>
    <w:p>
      <w:pPr>
        <w:pStyle w:val="Heading3"/>
      </w:pPr>
      <w:r>
        <w:t xml:space="preserve">6. Commerce (Digital + Physical Goods)</w:t>
      </w:r>
    </w:p>
    <w:p>
      <w:pPr>
        <w:pStyle w:val="FirstParagraph"/>
      </w:pPr>
      <w:r>
        <w:rPr>
          <w:bCs/>
          <w:b/>
        </w:rPr>
        <w:t xml:space="preserve">The play:</w:t>
      </w:r>
      <w:r>
        <w:t xml:space="preserve"> </w:t>
      </w:r>
      <w:r>
        <w:t xml:space="preserve">Decentralized Amazon — product listings backed by stake, escrow-secured transactions, reputation-gated stores. Cross-chain payments mean buyers pay in ETH/USDC/SOL and sellers receive BTCPC.</w:t>
      </w:r>
    </w:p>
    <w:p>
      <w:pPr>
        <w:pStyle w:val="BodyText"/>
      </w:pPr>
      <w:r>
        <w:rPr>
          <w:bCs/>
          <w:b/>
        </w:rPr>
        <w:t xml:space="preserve">This is a long-term play.</w:t>
      </w:r>
      <w:r>
        <w:t xml:space="preserve"> </w:t>
      </w:r>
      <w:r>
        <w:t xml:space="preserve">Commerce revenue is negligible in Y1–Y2 but potentially the largest revenue line by Y4–Y5.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GMV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ame-auctions"/>
    <w:p>
      <w:pPr>
        <w:pStyle w:val="Heading3"/>
      </w:pPr>
      <w:r>
        <w:t xml:space="preserve">7. Name Auctions</w:t>
      </w:r>
    </w:p>
    <w:p>
      <w:pPr>
        <w:pStyle w:val="FirstParagraph"/>
      </w:pPr>
      <w:r>
        <w:t xml:space="preserve">420 premium names reserved. Standard names available to anyone. Auction mechanics already built on-chain.</w:t>
      </w:r>
    </w:p>
    <w:p>
      <w:pPr>
        <w:pStyle w:val="BodyText"/>
      </w:pPr>
      <w:r>
        <w:t xml:space="preserve">Premium name tiers (comparable to ENS .eth domain sales):</w:t>
      </w:r>
      <w:r>
        <w:t xml:space="preserve"> </w:t>
      </w:r>
      <w:r>
        <w:t xml:space="preserve">- Common words (weather, data, ai, etc.): $500–5,000</w:t>
      </w:r>
      <w:r>
        <w:t xml:space="preserve"> </w:t>
      </w:r>
      <w:r>
        <w:t xml:space="preserve">- Short names (3–4 characters): $1,000–20,000</w:t>
      </w:r>
      <w:r>
        <w:t xml:space="preserve"> </w:t>
      </w:r>
      <w:r>
        <w:t xml:space="preserve">- Tier 1 premiums (btcpc, bitcoin, satoshi, etc.): $10,000–100,000+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 (most names &lt;$1k)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(mix of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 (premium names bid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$2M+</w:t>
            </w:r>
          </w:p>
        </w:tc>
      </w:tr>
    </w:tbl>
    <w:p>
      <w:pPr>
        <w:pStyle w:val="BodyText"/>
      </w:pPr>
      <w:r>
        <w:t xml:space="preserve">This is mostly a Y1 event — one-time revenue from the initial auction, then ongoing renewal fees (~10% of initial price per year).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bined-revenue-forecast"/>
    <w:p>
      <w:pPr>
        <w:pStyle w:val="Heading2"/>
      </w:pPr>
      <w:r>
        <w:t xml:space="preserve">Combined Revenue Forecast</w:t>
      </w:r>
    </w:p>
    <w:bookmarkStart w:id="30" w:name="protocol-revenue-what-the-business-earns"/>
    <w:p>
      <w:pPr>
        <w:pStyle w:val="Heading3"/>
      </w:pPr>
      <w:r>
        <w:t xml:space="preserve">Protocol Revenue (What the Business Earns)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data (30%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 (10%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(15%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Cross-chain services (5%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wBTCPC mint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Commerce (2.5% GMV)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auctions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revenue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$3.70M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$29.29M</w:t>
            </w:r>
          </w:p>
        </w:tc>
      </w:tr>
    </w:tbl>
    <w:bookmarkEnd w:id="30"/>
    <w:bookmarkStart w:id="31" w:name="X085b849784e8d2988079de569196543a94dd6d3"/>
    <w:p>
      <w:pPr>
        <w:pStyle w:val="Heading3"/>
      </w:pPr>
      <w:r>
        <w:t xml:space="preserve">Hardware Margin (from HARDWARE_PRODUCT_LINE.md)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gross margin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$6.56M</w:t>
            </w:r>
          </w:p>
        </w:tc>
      </w:tr>
    </w:tbl>
    <w:bookmarkEnd w:id="31"/>
    <w:bookmarkStart w:id="32" w:name="total-combined-gross-revenue"/>
    <w:p>
      <w:pPr>
        <w:pStyle w:val="Heading3"/>
      </w:pPr>
      <w:r>
        <w:t xml:space="preserve">Total Combined Gross Revenue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$29.29M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$924k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$6.04M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$35.85M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what-drives-each-transition"/>
    <w:p>
      <w:pPr>
        <w:pStyle w:val="Heading2"/>
      </w:pPr>
      <w:r>
        <w:t xml:space="preserve">What Drives Each Transition</w:t>
      </w:r>
    </w:p>
    <w:p>
      <w:pPr>
        <w:pStyle w:val="FirstParagraph"/>
      </w:pPr>
      <w:r>
        <w:rPr>
          <w:bCs/>
          <w:b/>
        </w:rPr>
        <w:t xml:space="preserve">Y1 → Y2 (bootstrapping to growth):</w:t>
      </w:r>
      <w:r>
        <w:t xml:space="preserve"> </w:t>
      </w:r>
      <w:r>
        <w:t xml:space="preserve">The sensor data and inference markets don’t produce meaningful revenue until there’s density — enough devices in enough cities that B2B buyers can cover their territories. The name auction and hardware sales fund operations while the network builds density. The Flipper Zero / Meshtastic community provides early organic adoption.</w:t>
      </w:r>
    </w:p>
    <w:p>
      <w:pPr>
        <w:pStyle w:val="BodyText"/>
      </w:pPr>
      <w:r>
        <w:rPr>
          <w:bCs/>
          <w:b/>
        </w:rPr>
        <w:t xml:space="preserve">Y2 → Y3 (growth to scale):</w:t>
      </w:r>
      <w:r>
        <w:t xml:space="preserve"> </w:t>
      </w:r>
      <w:r>
        <w:t xml:space="preserve">Cross-chain payments become real as wBTCPC launches on ETH/Base/Solana. Businesses in those ecosystems start paying for BTCPC inference and storage in native tokens without needing to hold BTCPC. The data marketplace has enough coverage to negotiate city-level contracts. Commerce begins generating meaningful GMV as reputation scores mature and buyers trust the escrow system.</w:t>
      </w:r>
    </w:p>
    <w:p>
      <w:r>
        <w:pict>
          <v:rect style="width:0;height:1.5pt" o:hralign="center" o:hrstd="t" o:hr="t"/>
        </w:pict>
      </w:r>
    </w:p>
    <w:bookmarkEnd w:id="34"/>
    <w:bookmarkStart w:id="35" w:name="token-value-as-a-parallel-track"/>
    <w:p>
      <w:pPr>
        <w:pStyle w:val="Heading2"/>
      </w:pPr>
      <w:r>
        <w:t xml:space="preserve">Token Value as a Parallel Track</w:t>
      </w:r>
    </w:p>
    <w:p>
      <w:pPr>
        <w:pStyle w:val="FirstParagraph"/>
      </w:pPr>
      <w:r>
        <w:t xml:space="preserve">Protocol revenue is what the business earns in fiat-denominated terms. But BTCPC also creates value through the token itself: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Epoch Bandwidth</w:t>
      </w:r>
      <w:r>
        <w:t xml:space="preserve"> </w:t>
      </w:r>
      <w:r>
        <w:t xml:space="preserve">requires staked BTCPC for every operation — more network activity = more staking demand = upward pressure on token price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42M fixed supply</w:t>
      </w:r>
      <w:r>
        <w:t xml:space="preserve"> </w:t>
      </w:r>
      <w:r>
        <w:t xml:space="preserve">— same supply cap as our design goal, same scarcity narrative as Bitcoin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btcpc_recycle pool</w:t>
      </w:r>
      <w:r>
        <w:t xml:space="preserve"> </w:t>
      </w:r>
      <w:r>
        <w:t xml:space="preserve">— all fees route here, redistributed as rewards — no value leaves the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Cross-chain wBTCPC</w:t>
      </w:r>
      <w:r>
        <w:t xml:space="preserve"> </w:t>
      </w:r>
      <w:r>
        <w:t xml:space="preserve">on 10 chains exposes BTCPC value to Ethereum DeFi, Solana yield markets, and TON ecosystem simultaneously</w:t>
      </w:r>
    </w:p>
    <w:p>
      <w:pPr>
        <w:pStyle w:val="FirstParagraph"/>
      </w:pPr>
      <w:r>
        <w:t xml:space="preserve">At Year 3 network scale, if BTCPC reaches $10/token with 42M supply, the market cap is $420M. The treasury’s protocol-owned tokens represent a meaningful balance sheet even before revenue is considered.</w:t>
      </w:r>
    </w:p>
    <w:p>
      <w:r>
        <w:pict>
          <v:rect style="width:0;height:1.5pt" o:hralign="center" o:hrstd="t" o:hr="t"/>
        </w:pict>
      </w:r>
    </w:p>
    <w:bookmarkEnd w:id="35"/>
    <w:bookmarkStart w:id="36" w:name="comparable-company-benchmarks"/>
    <w:p>
      <w:pPr>
        <w:pStyle w:val="Heading2"/>
      </w:pPr>
      <w:r>
        <w:t xml:space="preserve">Comparable Company Benchmarks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751"/>
        <w:gridCol w:w="1528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at comparable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PurpleAir (70k sensors)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~$5M ARR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~$25M (acquired)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WeatherFlow (50k stations)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~$8M ARR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~3.75×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Akash Network (decentralized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~$200M token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~40× (token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(900k gateways)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$5B peak token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~333× (token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Filecoin (decentralized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$7B peak token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~350× (token premium)</w:t>
            </w:r>
          </w:p>
        </w:tc>
      </w:tr>
    </w:tbl>
    <w:p>
      <w:pPr>
        <w:pStyle w:val="BodyText"/>
      </w:pPr>
      <w:r>
        <w:rPr>
          <w:bCs/>
          <w:b/>
        </w:rPr>
        <w:t xml:space="preserve">BTCPC at Year 3:</w:t>
      </w:r>
      <w:r>
        <w:t xml:space="preserve"> </w:t>
      </w:r>
      <w:r>
        <w:t xml:space="preserve">~$35M combined revenue, covering sensor + compute + storage + commerce + cross-chain in a single network.</w:t>
      </w:r>
    </w:p>
    <w:p>
      <w:pPr>
        <w:pStyle w:val="BodyText"/>
      </w:pPr>
      <w:r>
        <w:t xml:space="preserve">At a conservative 5× revenue multiple (pure software/data company valuation):</w:t>
      </w:r>
      <w:r>
        <w:t xml:space="preserve"> </w:t>
      </w:r>
      <w:r>
        <w:rPr>
          <w:bCs/>
          <w:b/>
        </w:rPr>
        <w:t xml:space="preserve">$175M</w:t>
      </w:r>
      <w:r>
        <w:t xml:space="preserve"> </w:t>
      </w:r>
      <w:r>
        <w:t xml:space="preserve">At a 15× multiple (SaaS/marketplace premium):</w:t>
      </w:r>
      <w:r>
        <w:t xml:space="preserve"> </w:t>
      </w:r>
      <w:r>
        <w:rPr>
          <w:bCs/>
          <w:b/>
        </w:rPr>
        <w:t xml:space="preserve">$535M</w:t>
      </w:r>
      <w:r>
        <w:t xml:space="preserve"> </w:t>
      </w:r>
      <w:r>
        <w:t xml:space="preserve">With token market premium (comparable to Helium/Filecoin at similar scale):</w:t>
      </w:r>
      <w:r>
        <w:t xml:space="preserve"> </w:t>
      </w:r>
      <w:r>
        <w:rPr>
          <w:bCs/>
          <w:b/>
        </w:rPr>
        <w:t xml:space="preserve">$1B+</w:t>
      </w:r>
    </w:p>
    <w:p>
      <w:r>
        <w:pict>
          <v:rect style="width:0;height:1.5pt" o:hralign="center" o:hrstd="t" o:hr="t"/>
        </w:pict>
      </w:r>
    </w:p>
    <w:bookmarkEnd w:id="36"/>
    <w:bookmarkStart w:id="37" w:name="what-needs-to-happen"/>
    <w:p>
      <w:pPr>
        <w:pStyle w:val="Heading2"/>
      </w:pPr>
      <w:r>
        <w:t xml:space="preserve">What Needs to Happen</w:t>
      </w:r>
    </w:p>
    <w:p>
      <w:pPr>
        <w:pStyle w:val="FirstParagraph"/>
      </w:pPr>
      <w:r>
        <w:t xml:space="preserve">The forecast above requires execution on a clear sequence: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Hardware shipping</w:t>
      </w:r>
      <w:r>
        <w:t xml:space="preserve"> </w:t>
      </w:r>
      <w:r>
        <w:t xml:space="preserve">— Micro and General units need to reach 10k deployed devices for sensor data to have commercial value. This is the critical path.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B2B data partnerships</w:t>
      </w:r>
      <w:r>
        <w:t xml:space="preserve"> </w:t>
      </w:r>
      <w:r>
        <w:t xml:space="preserve">— One signed contract with a weather data buyer or city government validates the data marketplace. This de-risks the entire sensor revenue line.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wBTCPC contract deployment</w:t>
      </w:r>
      <w:r>
        <w:t xml:space="preserve"> </w:t>
      </w:r>
      <w:r>
        <w:t xml:space="preserve">— Contracts deployed on Base and Arbitrum (lowest gas, highest liquidity) first. This makes cross-chain payments real and brings ETH ecosystem users in.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Inference marketplace launch</w:t>
      </w:r>
      <w:r>
        <w:t xml:space="preserve"> </w:t>
      </w:r>
      <w:r>
        <w:t xml:space="preserve">— The escrow and verifier system is built. The missing piece is a front-end marketplace where compute buyers post jobs and miners claim them. One page, one API.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FCC/CE certification</w:t>
      </w:r>
      <w:r>
        <w:t xml:space="preserve"> </w:t>
      </w:r>
      <w:r>
        <w:t xml:space="preserve">— Required before hardware can be sold commercially in the US and EU. Budget $15–30k per device per region, 3–6 month timeline. Should begin now to avoid delaying Y1 hardware revenue.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2026-04-21T20:35:00Z</dcterms:created>
  <dcterms:modified xsi:type="dcterms:W3CDTF">2026-04-21T20:35:00Z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