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游戏案例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"http://bbs.egret.com/thread-30309-1-1.html"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http://bbs.egret.com/thread-30309-1-1.html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安卓案例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68475" cy="1757045"/>
            <wp:effectExtent l="0" t="0" r="3175" b="14605"/>
            <wp:docPr id="1" name="图片 1" descr="651328512324037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1328512324037387"/>
                    <pic:cNvPicPr>
                      <a:picLocks noChangeAspect="1"/>
                    </pic:cNvPicPr>
                  </pic:nvPicPr>
                  <pic:blipFill>
                    <a:blip r:embed="rId4"/>
                    <a:srcRect l="62914" t="55369" r="3519" b="23528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白鹭文档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"http://developer.egret.com/cn/github/egret-docs/extension/threes/instructions/index.html"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3"/>
          <w:rFonts w:hint="eastAsia" w:eastAsiaTheme="minorEastAsia"/>
          <w:lang w:eastAsia="zh-CN"/>
        </w:rPr>
        <w:t>http://developer.egret.com/cn/github/egret-docs/extension/threes/instructions/index.html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601106"/>
    <w:rsid w:val="2B8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jiawei.liu</dc:creator>
  <cp:lastModifiedBy>jiawei.liu</cp:lastModifiedBy>
  <dcterms:modified xsi:type="dcterms:W3CDTF">2017-10-11T12:43:56Z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