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78ADD" w:sz="24"/>
              <w:left w:val="none" w:color="FFFFFF" w:sz="0"/>
              <w:bottom w:val="none" w:color="FFFFFF" w:sz="0"/>
              <w:right w:val="none" w:color="FFFFFF" w:sz="0"/>
            </w:tcBorders>
            <w:shd w:fill="042C53" w:val="clear"/>
            <w:tcMar>
              <w:top w:type="dxa" w:w="360"/>
              <w:left w:type="dxa" w:w="360"/>
              <w:bottom w:type="dxa" w:w="120"/>
              <w:right w:type="dxa" w:w="360"/>
            </w:tcMar>
          </w:tcPr>
          <w:p>
            <w:pPr>
              <w:jc w:val="center"/>
            </w:pPr>
            <w:r>
              <w:rPr>
                <w:rFonts w:ascii="Arial" w:cs="Arial" w:eastAsia="Arial" w:hAnsi="Arial"/>
                <w:b/>
                <w:bCs/>
                <w:color w:val="FFFFFF"/>
                <w:sz w:val="52"/>
                <w:szCs w:val="52"/>
              </w:rPr>
              <w:t xml:space="preserve">GATEWAY ORBITAL STABILITY EXPLORER</w:t>
            </w:r>
          </w:p>
        </w:tc>
      </w:tr>
      <w:tr>
        <w:tc>
          <w:tcPr>
            <w:tcW w:type="dxa" w:w="10080"/>
            <w:tcBorders>
              <w:top w:val="none" w:color="FFFFFF" w:sz="0"/>
              <w:left w:val="none" w:color="FFFFFF" w:sz="0"/>
              <w:bottom w:val="none" w:color="FFFFFF" w:sz="0"/>
              <w:right w:val="none" w:color="FFFFFF" w:sz="0"/>
            </w:tcBorders>
            <w:shd w:fill="042C53" w:val="clear"/>
            <w:tcMar>
              <w:top w:type="dxa" w:w="80"/>
              <w:left w:type="dxa" w:w="360"/>
              <w:bottom w:type="dxa" w:w="80"/>
              <w:right w:type="dxa" w:w="360"/>
            </w:tcMar>
          </w:tcPr>
          <w:p>
            <w:pPr>
              <w:jc w:val="center"/>
            </w:pPr>
            <w:r>
              <w:rPr>
                <w:rFonts w:ascii="Arial" w:cs="Arial" w:eastAsia="Arial" w:hAnsi="Arial"/>
                <w:color w:val="B5D4F4"/>
                <w:sz w:val="28"/>
                <w:szCs w:val="28"/>
              </w:rPr>
              <w:t xml:space="preserve">Product Requirements Document (PRD)</w:t>
            </w:r>
          </w:p>
        </w:tc>
      </w:tr>
      <w:tr>
        <w:tc>
          <w:tcPr>
            <w:tcW w:type="dxa" w:w="10080"/>
            <w:tcBorders>
              <w:top w:val="none" w:color="FFFFFF" w:sz="0"/>
              <w:left w:val="none" w:color="FFFFFF" w:sz="0"/>
              <w:bottom w:val="single" w:color="185FA5" w:sz="12"/>
              <w:right w:val="none" w:color="FFFFFF" w:sz="0"/>
            </w:tcBorders>
            <w:shd w:fill="042C53" w:val="clear"/>
            <w:tcMar>
              <w:top w:type="dxa" w:w="80"/>
              <w:left w:type="dxa" w:w="360"/>
              <w:bottom w:type="dxa" w:w="360"/>
              <w:right w:type="dxa" w:w="360"/>
            </w:tcMar>
          </w:tcPr>
          <w:p>
            <w:pPr>
              <w:jc w:val="center"/>
            </w:pPr>
            <w:r>
              <w:rPr>
                <w:rFonts w:ascii="Arial" w:cs="Arial" w:eastAsia="Arial" w:hAnsi="Arial"/>
                <w:color w:val="85B7EB"/>
                <w:sz w:val="20"/>
                <w:szCs w:val="20"/>
              </w:rPr>
              <w:t xml:space="preserve">IB MYP Science  ·  Option A Digital  ·  Artemis Efficiency Challenge  ·  2025–2026</w:t>
            </w:r>
          </w:p>
        </w:tc>
      </w:tr>
    </w:tbl>
    <w:p>
      <w:pPr>
        <w:spacing w:after="16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80"/>
      </w:tblGrid>
      <w:tr>
        <w:tc>
          <w:tcPr>
            <w:tcW w:type="dxa" w:w="2500"/>
            <w:tcBorders>
              <w:top w:val="single" w:color="D3D1C7" w:sz="1"/>
              <w:left w:val="single" w:color="D3D1C7" w:sz="1"/>
              <w:bottom w:val="single" w:color="D3D1C7" w:sz="1"/>
              <w:right w:val="single" w:color="D3D1C7" w:sz="1"/>
            </w:tcBorders>
            <w:shd w:fill="E6F1FB" w:val="clear"/>
            <w:tcMar>
              <w:top w:type="dxa" w:w="100"/>
              <w:left w:type="dxa" w:w="140"/>
              <w:bottom w:type="dxa" w:w="100"/>
              <w:right w:type="dxa" w:w="140"/>
            </w:tcMar>
          </w:tcPr>
          <w:p>
            <w:r>
              <w:rPr>
                <w:rFonts w:ascii="Arial" w:cs="Arial" w:eastAsia="Arial" w:hAnsi="Arial"/>
                <w:b/>
                <w:bCs/>
                <w:color w:val="5F5E5A"/>
                <w:sz w:val="16"/>
                <w:szCs w:val="16"/>
              </w:rPr>
              <w:t xml:space="preserve">Project</w:t>
            </w:r>
          </w:p>
          <w:p>
            <w:r>
              <w:rPr>
                <w:rFonts w:ascii="Arial" w:cs="Arial" w:eastAsia="Arial" w:hAnsi="Arial"/>
                <w:b/>
                <w:bCs/>
                <w:color w:val="2C2C2A"/>
                <w:sz w:val="20"/>
                <w:szCs w:val="20"/>
              </w:rPr>
              <w:t xml:space="preserve">Gateway Orbital Stability Explorer</w:t>
            </w:r>
          </w:p>
        </w:tc>
        <w:tc>
          <w:tcPr>
            <w:tcW w:type="dxa" w:w="250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r>
              <w:rPr>
                <w:rFonts w:ascii="Arial" w:cs="Arial" w:eastAsia="Arial" w:hAnsi="Arial"/>
                <w:b/>
                <w:bCs/>
                <w:color w:val="5F5E5A"/>
                <w:sz w:val="16"/>
                <w:szCs w:val="16"/>
              </w:rPr>
              <w:t xml:space="preserve">Version</w:t>
            </w:r>
          </w:p>
          <w:p>
            <w:r>
              <w:rPr>
                <w:rFonts w:ascii="Arial" w:cs="Arial" w:eastAsia="Arial" w:hAnsi="Arial"/>
                <w:b/>
                <w:bCs/>
                <w:color w:val="2C2C2A"/>
                <w:sz w:val="20"/>
                <w:szCs w:val="20"/>
              </w:rPr>
              <w:t xml:space="preserve">1.0 — Session 3</w:t>
            </w:r>
          </w:p>
        </w:tc>
        <w:tc>
          <w:tcPr>
            <w:tcW w:type="dxa" w:w="2500"/>
            <w:tcBorders>
              <w:top w:val="single" w:color="D3D1C7" w:sz="1"/>
              <w:left w:val="single" w:color="D3D1C7" w:sz="1"/>
              <w:bottom w:val="single" w:color="D3D1C7" w:sz="1"/>
              <w:right w:val="single" w:color="D3D1C7" w:sz="1"/>
            </w:tcBorders>
            <w:shd w:fill="E6F1FB" w:val="clear"/>
            <w:tcMar>
              <w:top w:type="dxa" w:w="100"/>
              <w:left w:type="dxa" w:w="140"/>
              <w:bottom w:type="dxa" w:w="100"/>
              <w:right w:type="dxa" w:w="140"/>
            </w:tcMar>
          </w:tcPr>
          <w:p>
            <w:r>
              <w:rPr>
                <w:rFonts w:ascii="Arial" w:cs="Arial" w:eastAsia="Arial" w:hAnsi="Arial"/>
                <w:b/>
                <w:bCs/>
                <w:color w:val="5F5E5A"/>
                <w:sz w:val="16"/>
                <w:szCs w:val="16"/>
              </w:rPr>
              <w:t xml:space="preserve">Status</w:t>
            </w:r>
          </w:p>
          <w:p>
            <w:r>
              <w:rPr>
                <w:rFonts w:ascii="Arial" w:cs="Arial" w:eastAsia="Arial" w:hAnsi="Arial"/>
                <w:b/>
                <w:bCs/>
                <w:color w:val="2C2C2A"/>
                <w:sz w:val="20"/>
                <w:szCs w:val="20"/>
              </w:rPr>
              <w:t xml:space="preserve">Draft — Ready to Build</w:t>
            </w:r>
          </w:p>
        </w:tc>
        <w:tc>
          <w:tcPr>
            <w:tcW w:type="dxa" w:w="25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r>
              <w:rPr>
                <w:rFonts w:ascii="Arial" w:cs="Arial" w:eastAsia="Arial" w:hAnsi="Arial"/>
                <w:b/>
                <w:bCs/>
                <w:color w:val="5F5E5A"/>
                <w:sz w:val="16"/>
                <w:szCs w:val="16"/>
              </w:rPr>
              <w:t xml:space="preserve">Target Grade</w:t>
            </w:r>
          </w:p>
          <w:p>
            <w:r>
              <w:rPr>
                <w:rFonts w:ascii="Arial" w:cs="Arial" w:eastAsia="Arial" w:hAnsi="Arial"/>
                <w:b/>
                <w:bCs/>
                <w:color w:val="2C2C2A"/>
                <w:sz w:val="20"/>
                <w:szCs w:val="20"/>
              </w:rPr>
              <w:t xml:space="preserve">IB MYP 7 / 7</w:t>
            </w:r>
          </w:p>
        </w:tc>
      </w:tr>
    </w:tbl>
    <w:p>
      <w:pPr>
        <w:spacing w:after="160" w:before="160"/>
      </w:pPr>
      <w:r>
        <w:t xml:space="preserve"/>
      </w:r>
    </w:p>
    <w:p>
      <w:r>
        <w:br w:type="page"/>
      </w:r>
    </w:p>
    <w:p>
      <w:pPr>
        <w:spacing w:after="80" w:before="320"/>
      </w:pPr>
      <w:r>
        <w:rPr>
          <w:rFonts w:ascii="Arial" w:cs="Arial" w:eastAsia="Arial" w:hAnsi="Arial"/>
          <w:b/>
          <w:bCs/>
          <w:color w:val="5F5E5A"/>
          <w:spacing w:val="40"/>
          <w:sz w:val="16"/>
          <w:szCs w:val="16"/>
        </w:rPr>
        <w:t xml:space="preserve">SECTION 1</w:t>
      </w:r>
    </w:p>
    <w:p>
      <w:pPr>
        <w:pStyle w:val="Heading1"/>
        <w:spacing w:after="80" w:before="200"/>
      </w:pPr>
      <w:r>
        <w:rPr>
          <w:rFonts w:ascii="Arial" w:cs="Arial" w:eastAsia="Arial" w:hAnsi="Arial"/>
          <w:b/>
          <w:bCs/>
          <w:color w:val="2C2C2A"/>
          <w:sz w:val="32"/>
          <w:szCs w:val="32"/>
        </w:rPr>
        <w:t xml:space="preserve">Product Overview</w:t>
      </w:r>
    </w:p>
    <w:p>
      <w:pPr>
        <w:pBdr>
          <w:bottom w:val="single" w:color="378ADD" w:sz="6"/>
        </w:pBdr>
        <w:spacing w:after="120" w:before="40"/>
      </w:pPr>
    </w:p>
    <w:p>
      <w:pPr>
        <w:spacing w:after="80" w:before="40"/>
        <w:jc w:val="both"/>
      </w:pPr>
      <w:r>
        <w:rPr>
          <w:rFonts w:ascii="Arial" w:cs="Arial" w:eastAsia="Arial" w:hAnsi="Arial"/>
          <w:color w:val="2C2C2A"/>
          <w:sz w:val="20"/>
          <w:szCs w:val="20"/>
        </w:rPr>
        <w:t xml:space="preserve">The Gateway Orbital Stability Explorer is a browser-based interactive scientific simulation website built for the IB MYP Artemis Efficiency Challenge. It replicates the Lunar Gateway's real Near-Rectilinear Halo Orbit (NRHO) using verified NASA and NIST physics constants, and allows users to conduct controlled experiments by manipulating orbital insertion variables while collecting live graphed data.</w:t>
      </w:r>
    </w:p>
    <w:p>
      <w:pPr>
        <w:spacing w:after="80" w:before="80"/>
      </w:pPr>
      <w:r>
        <w:t xml:space="preserve"/>
      </w:r>
    </w:p>
    <w:p>
      <w:pPr>
        <w:spacing w:after="80" w:before="40"/>
        <w:jc w:val="both"/>
      </w:pPr>
      <w:r>
        <w:rPr>
          <w:rFonts w:ascii="Arial" w:cs="Arial" w:eastAsia="Arial" w:hAnsi="Arial"/>
          <w:color w:val="2C2C2A"/>
          <w:sz w:val="20"/>
          <w:szCs w:val="20"/>
        </w:rPr>
        <w:t xml:space="preserve">This document defines all functional requirements, technical architecture, UI components, data handling, and design rationale needed to build the site from scratch. Every section maps directly to an IB assessment criterion.</w:t>
      </w:r>
    </w:p>
    <w:p>
      <w:pPr>
        <w:spacing w:after="160" w:before="160"/>
      </w:pPr>
      <w:r>
        <w:t xml:space="preserve"/>
      </w:r>
    </w:p>
    <w:p>
      <w:pPr>
        <w:spacing w:after="80" w:before="320"/>
      </w:pPr>
      <w:r>
        <w:rPr>
          <w:rFonts w:ascii="Arial" w:cs="Arial" w:eastAsia="Arial" w:hAnsi="Arial"/>
          <w:b/>
          <w:bCs/>
          <w:color w:val="5F5E5A"/>
          <w:spacing w:val="40"/>
          <w:sz w:val="16"/>
          <w:szCs w:val="16"/>
        </w:rPr>
        <w:t xml:space="preserve">SECTION 2 — CRITERION B</w:t>
      </w:r>
    </w:p>
    <w:p>
      <w:pPr>
        <w:pStyle w:val="Heading1"/>
        <w:spacing w:after="80" w:before="200"/>
      </w:pPr>
      <w:r>
        <w:rPr>
          <w:rFonts w:ascii="Arial" w:cs="Arial" w:eastAsia="Arial" w:hAnsi="Arial"/>
          <w:b/>
          <w:bCs/>
          <w:color w:val="2C2C2A"/>
          <w:sz w:val="32"/>
          <w:szCs w:val="32"/>
        </w:rPr>
        <w:t xml:space="preserve">Research Question &amp; Hypothesis</w:t>
      </w:r>
    </w:p>
    <w:p>
      <w:pPr>
        <w:pBdr>
          <w:bottom w:val="single" w:color="378ADD" w:sz="6"/>
        </w:pBdr>
        <w:spacing w:after="120" w:before="40"/>
      </w:pPr>
    </w:p>
    <w:p>
      <w:pPr>
        <w:pStyle w:val="Heading2"/>
        <w:spacing w:after="80" w:before="240"/>
      </w:pPr>
      <w:r>
        <w:rPr>
          <w:rFonts w:ascii="Arial" w:cs="Arial" w:eastAsia="Arial" w:hAnsi="Arial"/>
          <w:b/>
          <w:bCs/>
          <w:color w:val="185FA5"/>
          <w:sz w:val="24"/>
          <w:szCs w:val="24"/>
        </w:rPr>
        <w:t xml:space="preserve">Research Question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378ADD" w:sz="18"/>
              <w:bottom w:val="none" w:color="FFFFFF" w:sz="0"/>
              <w:right w:val="none" w:color="FFFFFF" w:sz="0"/>
            </w:tcBorders>
            <w:shd w:fill="E6F1FB" w:val="clear"/>
            <w:tcMar>
              <w:top w:type="dxa" w:w="120"/>
              <w:left w:type="dxa" w:w="160"/>
              <w:bottom w:type="dxa" w:w="120"/>
              <w:right w:type="dxa" w:w="160"/>
            </w:tcMar>
          </w:tcPr>
          <w:p>
            <w:pPr>
              <w:jc w:val="both"/>
            </w:pPr>
            <w:r>
              <w:rPr>
                <w:rFonts w:ascii="Arial" w:cs="Arial" w:eastAsia="Arial" w:hAnsi="Arial"/>
                <w:b/>
                <w:bCs/>
                <w:i/>
                <w:iCs/>
                <w:color w:val="2C2C2A"/>
                <w:sz w:val="20"/>
                <w:szCs w:val="20"/>
              </w:rPr>
              <w:t xml:space="preserve">How does changing the initial orbital insertion velocity of the Lunar Gateway affect the long-term stability of its Near-Rectilinear Halo Orbit (NRHO), as measured by deviation from the ideal perilune altitude of ~3,000 km over a 30-day simulation period?</w:t>
            </w:r>
          </w:p>
        </w:tc>
      </w:tr>
    </w:tbl>
    <w:p>
      <w:pPr>
        <w:spacing w:after="80" w:before="80"/>
      </w:pPr>
      <w:r>
        <w:t xml:space="preserve"/>
      </w:r>
    </w:p>
    <w:p>
      <w:pPr>
        <w:pStyle w:val="Heading2"/>
        <w:spacing w:after="80" w:before="240"/>
      </w:pPr>
      <w:r>
        <w:rPr>
          <w:rFonts w:ascii="Arial" w:cs="Arial" w:eastAsia="Arial" w:hAnsi="Arial"/>
          <w:b/>
          <w:bCs/>
          <w:color w:val="185FA5"/>
          <w:sz w:val="24"/>
          <w:szCs w:val="24"/>
        </w:rPr>
        <w:t xml:space="preserve">Hypothesis (If / Then / Because)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3B6D11" w:sz="18"/>
              <w:bottom w:val="none" w:color="FFFFFF" w:sz="0"/>
              <w:right w:val="none" w:color="FFFFFF" w:sz="0"/>
            </w:tcBorders>
            <w:shd w:fill="EAF3DE" w:val="clear"/>
            <w:tcMar>
              <w:top w:type="dxa" w:w="120"/>
              <w:left w:type="dxa" w:w="160"/>
              <w:bottom w:type="dxa" w:w="120"/>
              <w:right w:type="dxa" w:w="160"/>
            </w:tcMar>
          </w:tcPr>
          <w:p>
            <w:pPr>
              <w:jc w:val="both"/>
            </w:pPr>
            <w:r>
              <w:rPr>
                <w:rFonts w:ascii="Arial" w:cs="Arial" w:eastAsia="Arial" w:hAnsi="Arial"/>
                <w:b/>
                <w:bCs/>
                <w:i/>
                <w:iCs/>
                <w:color w:val="2C2C2A"/>
                <w:sz w:val="20"/>
                <w:szCs w:val="20"/>
              </w:rPr>
              <w:t xml:space="preserve">If the initial orbital insertion velocity of the Lunar Gateway is increased or decreased by 5% from the ideal baseline of approximately 0.900 km/s, then the long-term stability of the Near-Rectilinear Halo Orbit will measurably degrade, as quantified by deviation from the ideal perilune altitude of 3,000 km over 30 simulation days. Because NRHOs are highly sensitive gravitational equilibria within the Earth-Moon-Sun three-body system, incorrect insertion velocity disrupts the Lagrange-point balance, accelerating orbital decay and forcing emergency station-keeping thruster burns — a critical mission expenditure hazard threatening the Gateway's 15-year operational lifespan. (NASA Artemis Budget Reports, 2023; ESA Gateway Portal, 2022)</w:t>
            </w:r>
          </w:p>
        </w:tc>
      </w:tr>
    </w:tbl>
    <w:p>
      <w:pPr>
        <w:spacing w:after="80" w:before="80"/>
      </w:pPr>
      <w:r>
        <w:t xml:space="preserve"/>
      </w:r>
    </w:p>
    <w:p>
      <w:pPr>
        <w:spacing w:after="40" w:before="20"/>
      </w:pPr>
      <w:r>
        <w:rPr>
          <w:rFonts w:ascii="Arial" w:cs="Arial" w:eastAsia="Arial" w:hAnsi="Arial"/>
          <w:color w:val="3B6D11"/>
          <w:sz w:val="18"/>
          <w:szCs w:val="18"/>
        </w:rPr>
        <w:t xml:space="preserve">Criterion B checklist: If/Then/Because structure ✓  ·  Specific baseline velocity cited ✓  ·  Perilune altitude cited ✓  ·  Sources referenced ✓  ·  Three-body mechanics introduced ✓</w:t>
      </w:r>
    </w:p>
    <w:p>
      <w:pPr>
        <w:spacing w:after="160" w:before="160"/>
      </w:pPr>
      <w:r>
        <w:t xml:space="preserve"/>
      </w:r>
    </w:p>
    <w:p>
      <w:pPr>
        <w:spacing w:after="80" w:before="320"/>
      </w:pPr>
      <w:r>
        <w:rPr>
          <w:rFonts w:ascii="Arial" w:cs="Arial" w:eastAsia="Arial" w:hAnsi="Arial"/>
          <w:b/>
          <w:bCs/>
          <w:color w:val="5F5E5A"/>
          <w:spacing w:val="40"/>
          <w:sz w:val="16"/>
          <w:szCs w:val="16"/>
        </w:rPr>
        <w:t xml:space="preserve">SECTION 3 — PHYSICS ENGINE</w:t>
      </w:r>
    </w:p>
    <w:p>
      <w:pPr>
        <w:pStyle w:val="Heading1"/>
        <w:spacing w:after="80" w:before="200"/>
      </w:pPr>
      <w:r>
        <w:rPr>
          <w:rFonts w:ascii="Arial" w:cs="Arial" w:eastAsia="Arial" w:hAnsi="Arial"/>
          <w:b/>
          <w:bCs/>
          <w:color w:val="2C2C2A"/>
          <w:sz w:val="32"/>
          <w:szCs w:val="32"/>
        </w:rPr>
        <w:t xml:space="preserve">NASA / NIST Physics Constants</w:t>
      </w:r>
    </w:p>
    <w:p>
      <w:pPr>
        <w:pBdr>
          <w:bottom w:val="single" w:color="378ADD" w:sz="6"/>
        </w:pBdr>
        <w:spacing w:after="120" w:before="40"/>
      </w:pPr>
    </w:p>
    <w:p>
      <w:pPr>
        <w:spacing w:after="80" w:before="40"/>
        <w:jc w:val="both"/>
      </w:pPr>
      <w:r>
        <w:rPr>
          <w:rFonts w:ascii="Arial" w:cs="Arial" w:eastAsia="Arial" w:hAnsi="Arial"/>
          <w:color w:val="2C2C2A"/>
          <w:sz w:val="20"/>
          <w:szCs w:val="20"/>
        </w:rPr>
        <w:t xml:space="preserve">All six constants below must be hard-coded in the simulation engine and displayed visibly on the website's Methodology page so the examiner can verify them directly.</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480"/>
      </w:tblGrid>
      <w:tr>
        <w:trPr>
          <w:tblHeader/>
        </w:trPr>
        <w:tc>
          <w:tcPr>
            <w:tcW w:type="dxa" w:w="36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Constant</w:t>
            </w:r>
          </w:p>
        </w:tc>
        <w:tc>
          <w:tcPr>
            <w:tcW w:type="dxa" w:w="30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348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w:t>
            </w:r>
          </w:p>
        </w:tc>
      </w:tr>
      <w:tr>
        <w:tc>
          <w:tcPr>
            <w:tcW w:type="dxa" w:w="36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Lunar mass</w:t>
            </w:r>
          </w:p>
        </w:tc>
        <w:tc>
          <w:tcPr>
            <w:tcW w:type="dxa" w:w="30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7.342 × 10^22 kg</w:t>
            </w:r>
          </w:p>
        </w:tc>
        <w:tc>
          <w:tcPr>
            <w:tcW w:type="dxa" w:w="348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NASA Lunar Fact Sheet</w:t>
            </w:r>
          </w:p>
        </w:tc>
      </w:tr>
      <w:tr>
        <w:tc>
          <w:tcPr>
            <w:tcW w:type="dxa" w:w="3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Earth-Moon distance</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384,400 km</w:t>
            </w:r>
          </w:p>
        </w:tc>
        <w:tc>
          <w:tcPr>
            <w:tcW w:type="dxa" w:w="34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NASA Planetary Fact Sheet</w:t>
            </w:r>
          </w:p>
        </w:tc>
      </w:tr>
      <w:tr>
        <w:tc>
          <w:tcPr>
            <w:tcW w:type="dxa" w:w="36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NRHO perilune altitude</w:t>
            </w:r>
          </w:p>
        </w:tc>
        <w:tc>
          <w:tcPr>
            <w:tcW w:type="dxa" w:w="30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~3,000 km</w:t>
            </w:r>
          </w:p>
        </w:tc>
        <w:tc>
          <w:tcPr>
            <w:tcW w:type="dxa" w:w="348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NASA Gateway Overview 2022</w:t>
            </w:r>
          </w:p>
        </w:tc>
      </w:tr>
      <w:tr>
        <w:tc>
          <w:tcPr>
            <w:tcW w:type="dxa" w:w="3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NRHO apolune altitude</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~70,000 km</w:t>
            </w:r>
          </w:p>
        </w:tc>
        <w:tc>
          <w:tcPr>
            <w:tcW w:type="dxa" w:w="34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ESA Gateway Portal</w:t>
            </w:r>
          </w:p>
        </w:tc>
      </w:tr>
      <w:tr>
        <w:tc>
          <w:tcPr>
            <w:tcW w:type="dxa" w:w="36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Baseline insertion velocity</w:t>
            </w:r>
          </w:p>
        </w:tc>
        <w:tc>
          <w:tcPr>
            <w:tcW w:type="dxa" w:w="30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~0.900 km/s</w:t>
            </w:r>
          </w:p>
        </w:tc>
        <w:tc>
          <w:tcPr>
            <w:tcW w:type="dxa" w:w="348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NASA NRHO parameters</w:t>
            </w:r>
          </w:p>
        </w:tc>
      </w:tr>
      <w:tr>
        <w:tc>
          <w:tcPr>
            <w:tcW w:type="dxa" w:w="3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Gravitational constant G</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6.674 × 10^-11 N·m²/kg²</w:t>
            </w:r>
          </w:p>
        </w:tc>
        <w:tc>
          <w:tcPr>
            <w:tcW w:type="dxa" w:w="34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NIST CODATA</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854F0B" w:sz="18"/>
              <w:bottom w:val="none" w:color="FFFFFF" w:sz="0"/>
              <w:right w:val="none" w:color="FFFFFF" w:sz="0"/>
            </w:tcBorders>
            <w:shd w:fill="FAEEDA" w:val="clear"/>
            <w:tcMar>
              <w:top w:type="dxa" w:w="120"/>
              <w:left w:type="dxa" w:w="160"/>
              <w:bottom w:type="dxa" w:w="120"/>
              <w:right w:type="dxa" w:w="160"/>
            </w:tcMar>
          </w:tcPr>
          <w:p>
            <w:pPr>
              <w:jc w:val="both"/>
            </w:pPr>
            <w:r>
              <w:rPr>
                <w:rFonts w:ascii="Arial" w:cs="Arial" w:eastAsia="Arial" w:hAnsi="Arial"/>
                <w:b/>
                <w:bCs/>
                <w:i/>
                <w:iCs/>
                <w:color w:val="2C2C2A"/>
                <w:sz w:val="20"/>
                <w:szCs w:val="20"/>
              </w:rPr>
              <w:t xml:space="preserve">The simulation uses a three-body gravitational model (Earth + Moon + Sun) rather than a simple two-body Newtonian model. This is what makes NRHO unique and scientifically above grade level — the orbit only exists in the three-body system.</w:t>
            </w:r>
          </w:p>
        </w:tc>
      </w:tr>
    </w:tbl>
    <w:p>
      <w:pPr>
        <w:spacing w:after="160" w:before="160"/>
      </w:pPr>
      <w:r>
        <w:t xml:space="preserve"/>
      </w:r>
    </w:p>
    <w:p>
      <w:pPr>
        <w:spacing w:after="80" w:before="320"/>
      </w:pPr>
      <w:r>
        <w:rPr>
          <w:rFonts w:ascii="Arial" w:cs="Arial" w:eastAsia="Arial" w:hAnsi="Arial"/>
          <w:b/>
          <w:bCs/>
          <w:color w:val="5F5E5A"/>
          <w:spacing w:val="40"/>
          <w:sz w:val="16"/>
          <w:szCs w:val="16"/>
        </w:rPr>
        <w:t xml:space="preserve">SECTION 4 — CRITERION D</w:t>
      </w:r>
    </w:p>
    <w:p>
      <w:pPr>
        <w:pStyle w:val="Heading1"/>
        <w:spacing w:after="80" w:before="200"/>
      </w:pPr>
      <w:r>
        <w:rPr>
          <w:rFonts w:ascii="Arial" w:cs="Arial" w:eastAsia="Arial" w:hAnsi="Arial"/>
          <w:b/>
          <w:bCs/>
          <w:color w:val="2C2C2A"/>
          <w:sz w:val="32"/>
          <w:szCs w:val="32"/>
        </w:rPr>
        <w:t xml:space="preserve">Website Architecture &amp; UI Wireframe</w:t>
      </w:r>
    </w:p>
    <w:p>
      <w:pPr>
        <w:pBdr>
          <w:bottom w:val="single" w:color="378ADD" w:sz="6"/>
        </w:pBdr>
        <w:spacing w:after="120" w:before="40"/>
      </w:pPr>
    </w:p>
    <w:p>
      <w:pPr>
        <w:spacing w:after="80" w:before="40"/>
        <w:jc w:val="both"/>
      </w:pPr>
      <w:r>
        <w:rPr>
          <w:rFonts w:ascii="Arial" w:cs="Arial" w:eastAsia="Arial" w:hAnsi="Arial"/>
          <w:color w:val="2C2C2A"/>
          <w:sz w:val="20"/>
          <w:szCs w:val="20"/>
        </w:rPr>
        <w:t xml:space="preserve">The website is structured as a single-page application with five distinct panels, accessible via navigation tabs at the bottom. The layout is designed to mirror a real NASA mission control interface.</w:t>
      </w:r>
    </w:p>
    <w:p>
      <w:pPr>
        <w:spacing w:after="80" w:before="80"/>
      </w:pPr>
      <w:r>
        <w:t xml:space="preserve"/>
      </w:r>
    </w:p>
    <w:p>
      <w:pPr>
        <w:pStyle w:val="Heading2"/>
        <w:spacing w:after="80" w:before="240"/>
      </w:pPr>
      <w:r>
        <w:rPr>
          <w:rFonts w:ascii="Arial" w:cs="Arial" w:eastAsia="Arial" w:hAnsi="Arial"/>
          <w:b/>
          <w:bCs/>
          <w:color w:val="185FA5"/>
          <w:sz w:val="24"/>
          <w:szCs w:val="24"/>
        </w:rPr>
        <w:t xml:space="preserve">Panel 1: Header Bar</w:t>
      </w:r>
    </w:p>
    <w:p>
      <w:pPr>
        <w:pStyle w:val="ListParagraph"/>
        <w:numPr>
          <w:ilvl w:val="0"/>
          <w:numId w:val="2"/>
        </w:numPr>
        <w:spacing w:after="60" w:before="40"/>
      </w:pPr>
      <w:r>
        <w:rPr>
          <w:rFonts w:ascii="Arial" w:cs="Arial" w:eastAsia="Arial" w:hAnsi="Arial"/>
          <w:color w:val="2C2C2A"/>
          <w:sz w:val="20"/>
          <w:szCs w:val="20"/>
        </w:rPr>
        <w:t xml:space="preserve">Project title: "Gateway Orbital Stability Explorer"</w:t>
      </w:r>
    </w:p>
    <w:p>
      <w:pPr>
        <w:pStyle w:val="ListParagraph"/>
        <w:numPr>
          <w:ilvl w:val="0"/>
          <w:numId w:val="2"/>
        </w:numPr>
        <w:spacing w:after="60" w:before="40"/>
      </w:pPr>
      <w:r>
        <w:rPr>
          <w:rFonts w:ascii="Arial" w:cs="Arial" w:eastAsia="Arial" w:hAnsi="Arial"/>
          <w:color w:val="2C2C2A"/>
          <w:sz w:val="20"/>
          <w:szCs w:val="20"/>
        </w:rPr>
        <w:t xml:space="preserve">Live mission clock counting simulation days elapsed (T+ format)</w:t>
      </w:r>
    </w:p>
    <w:p>
      <w:pPr>
        <w:pStyle w:val="ListParagraph"/>
        <w:numPr>
          <w:ilvl w:val="0"/>
          <w:numId w:val="2"/>
        </w:numPr>
        <w:spacing w:after="60" w:before="40"/>
      </w:pPr>
      <w:r>
        <w:rPr>
          <w:rFonts w:ascii="Arial" w:cs="Arial" w:eastAsia="Arial" w:hAnsi="Arial"/>
          <w:color w:val="2C2C2A"/>
          <w:sz w:val="20"/>
          <w:szCs w:val="20"/>
        </w:rPr>
        <w:t xml:space="preserve">Status indicator: STABLE / WARNING / CRITICAL with color coding</w:t>
      </w:r>
    </w:p>
    <w:p>
      <w:pPr>
        <w:spacing w:after="80" w:before="80"/>
      </w:pPr>
      <w:r>
        <w:t xml:space="preserve"/>
      </w:r>
    </w:p>
    <w:p>
      <w:pPr>
        <w:pStyle w:val="Heading2"/>
        <w:spacing w:after="80" w:before="240"/>
      </w:pPr>
      <w:r>
        <w:rPr>
          <w:rFonts w:ascii="Arial" w:cs="Arial" w:eastAsia="Arial" w:hAnsi="Arial"/>
          <w:b/>
          <w:bCs/>
          <w:color w:val="185FA5"/>
          <w:sz w:val="24"/>
          <w:szCs w:val="24"/>
        </w:rPr>
        <w:t xml:space="preserve">Panel 2: Control Room (Left)</w:t>
      </w:r>
    </w:p>
    <w:p>
      <w:pPr>
        <w:pStyle w:val="ListParagraph"/>
        <w:numPr>
          <w:ilvl w:val="0"/>
          <w:numId w:val="2"/>
        </w:numPr>
        <w:spacing w:after="60" w:before="40"/>
      </w:pPr>
      <w:r>
        <w:rPr>
          <w:rFonts w:ascii="Arial" w:cs="Arial" w:eastAsia="Arial" w:hAnsi="Arial"/>
          <w:color w:val="2C2C2A"/>
          <w:sz w:val="20"/>
          <w:szCs w:val="20"/>
        </w:rPr>
        <w:t xml:space="preserve">Slider 1 — Initial Insertion Velocity (m/s): range 0.800–1.000 km/s, default 0.900</w:t>
      </w:r>
    </w:p>
    <w:p>
      <w:pPr>
        <w:pStyle w:val="ListParagraph"/>
        <w:numPr>
          <w:ilvl w:val="0"/>
          <w:numId w:val="2"/>
        </w:numPr>
        <w:spacing w:after="60" w:before="40"/>
      </w:pPr>
      <w:r>
        <w:rPr>
          <w:rFonts w:ascii="Arial" w:cs="Arial" w:eastAsia="Arial" w:hAnsi="Arial"/>
          <w:color w:val="2C2C2A"/>
          <w:sz w:val="20"/>
          <w:szCs w:val="20"/>
        </w:rPr>
        <w:t xml:space="preserve">Slider 2 — Satellite Mass (kg): range 10,000–80,000 kg, default 40,000 (locked for experiment)</w:t>
      </w:r>
    </w:p>
    <w:p>
      <w:pPr>
        <w:pStyle w:val="ListParagraph"/>
        <w:numPr>
          <w:ilvl w:val="0"/>
          <w:numId w:val="2"/>
        </w:numPr>
        <w:spacing w:after="60" w:before="40"/>
      </w:pPr>
      <w:r>
        <w:rPr>
          <w:rFonts w:ascii="Arial" w:cs="Arial" w:eastAsia="Arial" w:hAnsi="Arial"/>
          <w:color w:val="2C2C2A"/>
          <w:sz w:val="20"/>
          <w:szCs w:val="20"/>
        </w:rPr>
        <w:t xml:space="preserve">Slider 3 — Insertion Angle (degrees): range 85–95°, default 90 (locked for experiment)</w:t>
      </w:r>
    </w:p>
    <w:p>
      <w:pPr>
        <w:pStyle w:val="ListParagraph"/>
        <w:numPr>
          <w:ilvl w:val="0"/>
          <w:numId w:val="2"/>
        </w:numPr>
        <w:spacing w:after="60" w:before="40"/>
      </w:pPr>
      <w:r>
        <w:rPr>
          <w:rFonts w:ascii="Arial" w:cs="Arial" w:eastAsia="Arial" w:hAnsi="Arial"/>
          <w:color w:val="2C2C2A"/>
          <w:sz w:val="20"/>
          <w:szCs w:val="20"/>
        </w:rPr>
        <w:t xml:space="preserve">Button — [ INITIATE ORBITAL BURN ]: triggers simulation run</w:t>
      </w:r>
    </w:p>
    <w:p>
      <w:pPr>
        <w:pStyle w:val="ListParagraph"/>
        <w:numPr>
          <w:ilvl w:val="0"/>
          <w:numId w:val="2"/>
        </w:numPr>
        <w:spacing w:after="60" w:before="40"/>
      </w:pPr>
      <w:r>
        <w:rPr>
          <w:rFonts w:ascii="Arial" w:cs="Arial" w:eastAsia="Arial" w:hAnsi="Arial"/>
          <w:color w:val="2C2C2A"/>
          <w:sz w:val="20"/>
          <w:szCs w:val="20"/>
        </w:rPr>
        <w:t xml:space="preserve">Reset button: clears current run and returns to default state</w:t>
      </w:r>
    </w:p>
    <w:p>
      <w:pPr>
        <w:spacing w:after="80" w:before="80"/>
      </w:pPr>
      <w:r>
        <w:t xml:space="preserve"/>
      </w:r>
    </w:p>
    <w:p>
      <w:pPr>
        <w:pStyle w:val="Heading2"/>
        <w:spacing w:after="80" w:before="240"/>
      </w:pPr>
      <w:r>
        <w:rPr>
          <w:rFonts w:ascii="Arial" w:cs="Arial" w:eastAsia="Arial" w:hAnsi="Arial"/>
          <w:b/>
          <w:bCs/>
          <w:color w:val="185FA5"/>
          <w:sz w:val="24"/>
          <w:szCs w:val="24"/>
        </w:rPr>
        <w:t xml:space="preserve">Panel 3: Orbital Sandbox (Center)</w:t>
      </w:r>
    </w:p>
    <w:p>
      <w:pPr>
        <w:pStyle w:val="ListParagraph"/>
        <w:numPr>
          <w:ilvl w:val="0"/>
          <w:numId w:val="2"/>
        </w:numPr>
        <w:spacing w:after="60" w:before="40"/>
      </w:pPr>
      <w:r>
        <w:rPr>
          <w:rFonts w:ascii="Arial" w:cs="Arial" w:eastAsia="Arial" w:hAnsi="Arial"/>
          <w:color w:val="2C2C2A"/>
          <w:sz w:val="20"/>
          <w:szCs w:val="20"/>
        </w:rPr>
        <w:t xml:space="preserve">Live 2D visualization of Earth, Moon, and Gateway trajectory</w:t>
      </w:r>
    </w:p>
    <w:p>
      <w:pPr>
        <w:pStyle w:val="ListParagraph"/>
        <w:numPr>
          <w:ilvl w:val="0"/>
          <w:numId w:val="2"/>
        </w:numPr>
        <w:spacing w:after="60" w:before="40"/>
      </w:pPr>
      <w:r>
        <w:rPr>
          <w:rFonts w:ascii="Arial" w:cs="Arial" w:eastAsia="Arial" w:hAnsi="Arial"/>
          <w:color w:val="2C2C2A"/>
          <w:sz w:val="20"/>
          <w:szCs w:val="20"/>
        </w:rPr>
        <w:t xml:space="preserve">NRHO path drawn as an ellipse using real perilune/apolune altitude ratios</w:t>
      </w:r>
    </w:p>
    <w:p>
      <w:pPr>
        <w:pStyle w:val="ListParagraph"/>
        <w:numPr>
          <w:ilvl w:val="0"/>
          <w:numId w:val="2"/>
        </w:numPr>
        <w:spacing w:after="60" w:before="40"/>
      </w:pPr>
      <w:r>
        <w:rPr>
          <w:rFonts w:ascii="Arial" w:cs="Arial" w:eastAsia="Arial" w:hAnsi="Arial"/>
          <w:color w:val="2C2C2A"/>
          <w:sz w:val="20"/>
          <w:szCs w:val="20"/>
        </w:rPr>
        <w:t xml:space="preserve">Gateway satellite rendered as an animated dot traversing the orbit</w:t>
      </w:r>
    </w:p>
    <w:p>
      <w:pPr>
        <w:pStyle w:val="ListParagraph"/>
        <w:numPr>
          <w:ilvl w:val="0"/>
          <w:numId w:val="2"/>
        </w:numPr>
        <w:spacing w:after="60" w:before="40"/>
      </w:pPr>
      <w:r>
        <w:rPr>
          <w:rFonts w:ascii="Arial" w:cs="Arial" w:eastAsia="Arial" w:hAnsi="Arial"/>
          <w:color w:val="2C2C2A"/>
          <w:sz w:val="20"/>
          <w:szCs w:val="20"/>
        </w:rPr>
        <w:t xml:space="preserve">Perilune and apolune altitude labels overlaid on the visualization</w:t>
      </w:r>
    </w:p>
    <w:p>
      <w:pPr>
        <w:pStyle w:val="ListParagraph"/>
        <w:numPr>
          <w:ilvl w:val="0"/>
          <w:numId w:val="2"/>
        </w:numPr>
        <w:spacing w:after="60" w:before="40"/>
      </w:pPr>
      <w:r>
        <w:rPr>
          <w:rFonts w:ascii="Arial" w:cs="Arial" w:eastAsia="Arial" w:hAnsi="Arial"/>
          <w:color w:val="2C2C2A"/>
          <w:sz w:val="20"/>
          <w:szCs w:val="20"/>
        </w:rPr>
        <w:t xml:space="preserve">Color shift on orbit path: green = stable, amber = warning, red = critical decay</w:t>
      </w:r>
    </w:p>
    <w:p>
      <w:pPr>
        <w:spacing w:after="80" w:before="80"/>
      </w:pPr>
      <w:r>
        <w:t xml:space="preserve"/>
      </w:r>
    </w:p>
    <w:p>
      <w:pPr>
        <w:pStyle w:val="Heading2"/>
        <w:spacing w:after="80" w:before="240"/>
      </w:pPr>
      <w:r>
        <w:rPr>
          <w:rFonts w:ascii="Arial" w:cs="Arial" w:eastAsia="Arial" w:hAnsi="Arial"/>
          <w:b/>
          <w:bCs/>
          <w:color w:val="185FA5"/>
          <w:sz w:val="24"/>
          <w:szCs w:val="24"/>
        </w:rPr>
        <w:t xml:space="preserve">Panel 4: Telemetry Dashboard (Right)</w:t>
      </w:r>
    </w:p>
    <w:p>
      <w:pPr>
        <w:pStyle w:val="ListParagraph"/>
        <w:numPr>
          <w:ilvl w:val="0"/>
          <w:numId w:val="2"/>
        </w:numPr>
        <w:spacing w:after="60" w:before="40"/>
      </w:pPr>
      <w:r>
        <w:rPr>
          <w:rFonts w:ascii="Arial" w:cs="Arial" w:eastAsia="Arial" w:hAnsi="Arial"/>
          <w:color w:val="2C2C2A"/>
          <w:sz w:val="20"/>
          <w:szCs w:val="20"/>
        </w:rPr>
        <w:t xml:space="preserve">Auto-generating line graph: Perilune Altitude Deviation (km) over 30 simulated days</w:t>
      </w:r>
    </w:p>
    <w:p>
      <w:pPr>
        <w:pStyle w:val="ListParagraph"/>
        <w:numPr>
          <w:ilvl w:val="0"/>
          <w:numId w:val="2"/>
        </w:numPr>
        <w:spacing w:after="60" w:before="40"/>
      </w:pPr>
      <w:r>
        <w:rPr>
          <w:rFonts w:ascii="Arial" w:cs="Arial" w:eastAsia="Arial" w:hAnsi="Arial"/>
          <w:color w:val="2C2C2A"/>
          <w:sz w:val="20"/>
          <w:szCs w:val="20"/>
        </w:rPr>
        <w:t xml:space="preserve">Live readouts: Current Velocity, Perilune Deviation, Fuel Risk Level</w:t>
      </w:r>
    </w:p>
    <w:p>
      <w:pPr>
        <w:pStyle w:val="ListParagraph"/>
        <w:numPr>
          <w:ilvl w:val="0"/>
          <w:numId w:val="2"/>
        </w:numPr>
        <w:spacing w:after="60" w:before="40"/>
      </w:pPr>
      <w:r>
        <w:rPr>
          <w:rFonts w:ascii="Arial" w:cs="Arial" w:eastAsia="Arial" w:hAnsi="Arial"/>
          <w:color w:val="2C2C2A"/>
          <w:sz w:val="20"/>
          <w:szCs w:val="20"/>
        </w:rPr>
        <w:t xml:space="preserve">Orbit Stability Status badge: STABLE / WARNING / CRITICAL</w:t>
      </w:r>
    </w:p>
    <w:p>
      <w:pPr>
        <w:pStyle w:val="ListParagraph"/>
        <w:numPr>
          <w:ilvl w:val="0"/>
          <w:numId w:val="2"/>
        </w:numPr>
        <w:spacing w:after="60" w:before="40"/>
      </w:pPr>
      <w:r>
        <w:rPr>
          <w:rFonts w:ascii="Arial" w:cs="Arial" w:eastAsia="Arial" w:hAnsi="Arial"/>
          <w:color w:val="2C2C2A"/>
          <w:sz w:val="20"/>
          <w:szCs w:val="20"/>
        </w:rPr>
        <w:t xml:space="preserve">Export button: downloads current trial data as CSV</w:t>
      </w:r>
    </w:p>
    <w:p>
      <w:pPr>
        <w:spacing w:after="80" w:before="80"/>
      </w:pPr>
      <w:r>
        <w:t xml:space="preserve"/>
      </w:r>
    </w:p>
    <w:p>
      <w:pPr>
        <w:pStyle w:val="Heading2"/>
        <w:spacing w:after="80" w:before="240"/>
      </w:pPr>
      <w:r>
        <w:rPr>
          <w:rFonts w:ascii="Arial" w:cs="Arial" w:eastAsia="Arial" w:hAnsi="Arial"/>
          <w:b/>
          <w:bCs/>
          <w:color w:val="185FA5"/>
          <w:sz w:val="24"/>
          <w:szCs w:val="24"/>
        </w:rPr>
        <w:t xml:space="preserve">Panel 5: Archives (Bottom Tabs)</w:t>
      </w:r>
    </w:p>
    <w:p>
      <w:pPr>
        <w:pStyle w:val="ListParagraph"/>
        <w:numPr>
          <w:ilvl w:val="0"/>
          <w:numId w:val="2"/>
        </w:numPr>
        <w:spacing w:after="60" w:before="40"/>
      </w:pPr>
      <w:r>
        <w:rPr>
          <w:rFonts w:ascii="Arial" w:cs="Arial" w:eastAsia="Arial" w:hAnsi="Arial"/>
          <w:color w:val="2C2C2A"/>
          <w:sz w:val="20"/>
          <w:szCs w:val="20"/>
        </w:rPr>
        <w:t xml:space="preserve">Tab 1 — Research Log: auto-populated table of all trial results</w:t>
      </w:r>
    </w:p>
    <w:p>
      <w:pPr>
        <w:pStyle w:val="ListParagraph"/>
        <w:numPr>
          <w:ilvl w:val="0"/>
          <w:numId w:val="2"/>
        </w:numPr>
        <w:spacing w:after="60" w:before="40"/>
      </w:pPr>
      <w:r>
        <w:rPr>
          <w:rFonts w:ascii="Arial" w:cs="Arial" w:eastAsia="Arial" w:hAnsi="Arial"/>
          <w:color w:val="2C2C2A"/>
          <w:sz w:val="20"/>
          <w:szCs w:val="20"/>
        </w:rPr>
        <w:t xml:space="preserve">Tab 2 — Methodology: hard-coded NASA constants + step-by-step method</w:t>
      </w:r>
    </w:p>
    <w:p>
      <w:pPr>
        <w:pStyle w:val="ListParagraph"/>
        <w:numPr>
          <w:ilvl w:val="0"/>
          <w:numId w:val="2"/>
        </w:numPr>
        <w:spacing w:after="60" w:before="40"/>
      </w:pPr>
      <w:r>
        <w:rPr>
          <w:rFonts w:ascii="Arial" w:cs="Arial" w:eastAsia="Arial" w:hAnsi="Arial"/>
          <w:color w:val="2C2C2A"/>
          <w:sz w:val="20"/>
          <w:szCs w:val="20"/>
        </w:rPr>
        <w:t xml:space="preserve">Tab 3 — Sources: APA-formatted citations (NASA, ESA, NIST, PhET)</w:t>
      </w:r>
    </w:p>
    <w:p>
      <w:pPr>
        <w:pStyle w:val="ListParagraph"/>
        <w:numPr>
          <w:ilvl w:val="0"/>
          <w:numId w:val="2"/>
        </w:numPr>
        <w:spacing w:after="60" w:before="40"/>
      </w:pPr>
      <w:r>
        <w:rPr>
          <w:rFonts w:ascii="Arial" w:cs="Arial" w:eastAsia="Arial" w:hAnsi="Arial"/>
          <w:color w:val="2C2C2A"/>
          <w:sz w:val="20"/>
          <w:szCs w:val="20"/>
        </w:rPr>
        <w:t xml:space="preserve">Tab 4 — Design Rationale: explains every design decision for Criterion D</w:t>
      </w:r>
    </w:p>
    <w:p>
      <w:pPr>
        <w:spacing w:after="160" w:before="160"/>
      </w:pPr>
      <w:r>
        <w:t xml:space="preserve"/>
      </w:r>
    </w:p>
    <w:p>
      <w:pPr>
        <w:spacing w:after="80" w:before="320"/>
      </w:pPr>
      <w:r>
        <w:rPr>
          <w:rFonts w:ascii="Arial" w:cs="Arial" w:eastAsia="Arial" w:hAnsi="Arial"/>
          <w:b/>
          <w:bCs/>
          <w:color w:val="5F5E5A"/>
          <w:spacing w:val="40"/>
          <w:sz w:val="16"/>
          <w:szCs w:val="16"/>
        </w:rPr>
        <w:t xml:space="preserve">SECTION 5 — CRITERION C</w:t>
      </w:r>
    </w:p>
    <w:p>
      <w:pPr>
        <w:pStyle w:val="Heading1"/>
        <w:spacing w:after="80" w:before="200"/>
      </w:pPr>
      <w:r>
        <w:rPr>
          <w:rFonts w:ascii="Arial" w:cs="Arial" w:eastAsia="Arial" w:hAnsi="Arial"/>
          <w:b/>
          <w:bCs/>
          <w:color w:val="2C2C2A"/>
          <w:sz w:val="32"/>
          <w:szCs w:val="32"/>
        </w:rPr>
        <w:t xml:space="preserve">Experiment Methodology</w:t>
      </w:r>
    </w:p>
    <w:p>
      <w:pPr>
        <w:pBdr>
          <w:bottom w:val="single" w:color="378ADD" w:sz="6"/>
        </w:pBdr>
        <w:spacing w:after="120" w:before="40"/>
      </w:pPr>
    </w:p>
    <w:p>
      <w:pPr>
        <w:pStyle w:val="Heading2"/>
        <w:spacing w:after="80" w:before="240"/>
      </w:pPr>
      <w:r>
        <w:rPr>
          <w:rFonts w:ascii="Arial" w:cs="Arial" w:eastAsia="Arial" w:hAnsi="Arial"/>
          <w:b/>
          <w:bCs/>
          <w:color w:val="185FA5"/>
          <w:sz w:val="24"/>
          <w:szCs w:val="24"/>
        </w:rPr>
        <w:t xml:space="preserve">Independent Variable</w:t>
      </w:r>
    </w:p>
    <w:p>
      <w:pPr>
        <w:spacing w:after="80" w:before="40"/>
        <w:jc w:val="both"/>
      </w:pPr>
      <w:r>
        <w:rPr>
          <w:rFonts w:ascii="Arial" w:cs="Arial" w:eastAsia="Arial" w:hAnsi="Arial"/>
          <w:color w:val="2C2C2A"/>
          <w:sz w:val="20"/>
          <w:szCs w:val="20"/>
        </w:rPr>
        <w:t xml:space="preserve">Initial orbital insertion velocity — tested at three levels:</w:t>
      </w:r>
    </w:p>
    <w:p>
      <w:pPr>
        <w:pStyle w:val="ListParagraph"/>
        <w:numPr>
          <w:ilvl w:val="0"/>
          <w:numId w:val="2"/>
        </w:numPr>
        <w:spacing w:after="60" w:before="40"/>
      </w:pPr>
      <w:r>
        <w:rPr>
          <w:rFonts w:ascii="Arial" w:cs="Arial" w:eastAsia="Arial" w:hAnsi="Arial"/>
          <w:color w:val="2C2C2A"/>
          <w:sz w:val="20"/>
          <w:szCs w:val="20"/>
        </w:rPr>
        <w:t xml:space="preserve">Baseline: 0.900 km/s (ideal NRHO insertion velocity)</w:t>
      </w:r>
    </w:p>
    <w:p>
      <w:pPr>
        <w:pStyle w:val="ListParagraph"/>
        <w:numPr>
          <w:ilvl w:val="0"/>
          <w:numId w:val="2"/>
        </w:numPr>
        <w:spacing w:after="60" w:before="40"/>
      </w:pPr>
      <w:r>
        <w:rPr>
          <w:rFonts w:ascii="Arial" w:cs="Arial" w:eastAsia="Arial" w:hAnsi="Arial"/>
          <w:color w:val="2C2C2A"/>
          <w:sz w:val="20"/>
          <w:szCs w:val="20"/>
        </w:rPr>
        <w:t xml:space="preserve">Under-speed: 0.855 km/s (−5% from baseline)</w:t>
      </w:r>
    </w:p>
    <w:p>
      <w:pPr>
        <w:pStyle w:val="ListParagraph"/>
        <w:numPr>
          <w:ilvl w:val="0"/>
          <w:numId w:val="2"/>
        </w:numPr>
        <w:spacing w:after="60" w:before="40"/>
      </w:pPr>
      <w:r>
        <w:rPr>
          <w:rFonts w:ascii="Arial" w:cs="Arial" w:eastAsia="Arial" w:hAnsi="Arial"/>
          <w:color w:val="2C2C2A"/>
          <w:sz w:val="20"/>
          <w:szCs w:val="20"/>
        </w:rPr>
        <w:t xml:space="preserve">Over-speed: 0.945 km/s (+5% from baseline)</w:t>
      </w:r>
    </w:p>
    <w:p>
      <w:pPr>
        <w:spacing w:after="80" w:before="80"/>
      </w:pPr>
      <w:r>
        <w:t xml:space="preserve"/>
      </w:r>
    </w:p>
    <w:p>
      <w:pPr>
        <w:pStyle w:val="Heading2"/>
        <w:spacing w:after="80" w:before="240"/>
      </w:pPr>
      <w:r>
        <w:rPr>
          <w:rFonts w:ascii="Arial" w:cs="Arial" w:eastAsia="Arial" w:hAnsi="Arial"/>
          <w:b/>
          <w:bCs/>
          <w:color w:val="185FA5"/>
          <w:sz w:val="24"/>
          <w:szCs w:val="24"/>
        </w:rPr>
        <w:t xml:space="preserve">Dependent Variable</w:t>
      </w:r>
    </w:p>
    <w:p>
      <w:pPr>
        <w:spacing w:after="80" w:before="40"/>
        <w:jc w:val="both"/>
      </w:pPr>
      <w:r>
        <w:rPr>
          <w:rFonts w:ascii="Arial" w:cs="Arial" w:eastAsia="Arial" w:hAnsi="Arial"/>
          <w:color w:val="2C2C2A"/>
          <w:sz w:val="20"/>
          <w:szCs w:val="20"/>
        </w:rPr>
        <w:t xml:space="preserve">Perilune altitude deviation (km) from the ideal 3,000 km perilune, measured after 30 simulated days.</w:t>
      </w:r>
    </w:p>
    <w:p>
      <w:pPr>
        <w:spacing w:after="80" w:before="80"/>
      </w:pPr>
      <w:r>
        <w:t xml:space="preserve"/>
      </w:r>
    </w:p>
    <w:p>
      <w:pPr>
        <w:pStyle w:val="Heading2"/>
        <w:spacing w:after="80" w:before="240"/>
      </w:pPr>
      <w:r>
        <w:rPr>
          <w:rFonts w:ascii="Arial" w:cs="Arial" w:eastAsia="Arial" w:hAnsi="Arial"/>
          <w:b/>
          <w:bCs/>
          <w:color w:val="185FA5"/>
          <w:sz w:val="24"/>
          <w:szCs w:val="24"/>
        </w:rPr>
        <w:t xml:space="preserve">Control Variables</w:t>
      </w:r>
    </w:p>
    <w:p>
      <w:pPr>
        <w:pStyle w:val="ListParagraph"/>
        <w:numPr>
          <w:ilvl w:val="0"/>
          <w:numId w:val="2"/>
        </w:numPr>
        <w:spacing w:after="60" w:before="40"/>
      </w:pPr>
      <w:r>
        <w:rPr>
          <w:rFonts w:ascii="Arial" w:cs="Arial" w:eastAsia="Arial" w:hAnsi="Arial"/>
          <w:color w:val="2C2C2A"/>
          <w:sz w:val="20"/>
          <w:szCs w:val="20"/>
        </w:rPr>
        <w:t xml:space="preserve">Gateway satellite mass: 40,000 kg (NASA specification, locked)</w:t>
      </w:r>
    </w:p>
    <w:p>
      <w:pPr>
        <w:pStyle w:val="ListParagraph"/>
        <w:numPr>
          <w:ilvl w:val="0"/>
          <w:numId w:val="2"/>
        </w:numPr>
        <w:spacing w:after="60" w:before="40"/>
      </w:pPr>
      <w:r>
        <w:rPr>
          <w:rFonts w:ascii="Arial" w:cs="Arial" w:eastAsia="Arial" w:hAnsi="Arial"/>
          <w:color w:val="2C2C2A"/>
          <w:sz w:val="20"/>
          <w:szCs w:val="20"/>
        </w:rPr>
        <w:t xml:space="preserve">Orbital insertion angle: 90 degrees (locked)</w:t>
      </w:r>
    </w:p>
    <w:p>
      <w:pPr>
        <w:pStyle w:val="ListParagraph"/>
        <w:numPr>
          <w:ilvl w:val="0"/>
          <w:numId w:val="2"/>
        </w:numPr>
        <w:spacing w:after="60" w:before="40"/>
      </w:pPr>
      <w:r>
        <w:rPr>
          <w:rFonts w:ascii="Arial" w:cs="Arial" w:eastAsia="Arial" w:hAnsi="Arial"/>
          <w:color w:val="2C2C2A"/>
          <w:sz w:val="20"/>
          <w:szCs w:val="20"/>
        </w:rPr>
        <w:t xml:space="preserve">Lunar mass: 7.342 × 10^22 kg (constant)</w:t>
      </w:r>
    </w:p>
    <w:p>
      <w:pPr>
        <w:pStyle w:val="ListParagraph"/>
        <w:numPr>
          <w:ilvl w:val="0"/>
          <w:numId w:val="2"/>
        </w:numPr>
        <w:spacing w:after="60" w:before="40"/>
      </w:pPr>
      <w:r>
        <w:rPr>
          <w:rFonts w:ascii="Arial" w:cs="Arial" w:eastAsia="Arial" w:hAnsi="Arial"/>
          <w:color w:val="2C2C2A"/>
          <w:sz w:val="20"/>
          <w:szCs w:val="20"/>
        </w:rPr>
        <w:t xml:space="preserve">Earth-Moon distance: 384,400 km (constant)</w:t>
      </w:r>
    </w:p>
    <w:p>
      <w:pPr>
        <w:pStyle w:val="ListParagraph"/>
        <w:numPr>
          <w:ilvl w:val="0"/>
          <w:numId w:val="2"/>
        </w:numPr>
        <w:spacing w:after="60" w:before="40"/>
      </w:pPr>
      <w:r>
        <w:rPr>
          <w:rFonts w:ascii="Arial" w:cs="Arial" w:eastAsia="Arial" w:hAnsi="Arial"/>
          <w:color w:val="2C2C2A"/>
          <w:sz w:val="20"/>
          <w:szCs w:val="20"/>
        </w:rPr>
        <w:t xml:space="preserve">Simulation duration: 30 days per trial (constant)</w:t>
      </w:r>
    </w:p>
    <w:p>
      <w:pPr>
        <w:spacing w:after="80" w:before="80"/>
      </w:pPr>
      <w:r>
        <w:t xml:space="preserve"/>
      </w:r>
    </w:p>
    <w:p>
      <w:pPr>
        <w:pStyle w:val="Heading2"/>
        <w:spacing w:after="80" w:before="240"/>
      </w:pPr>
      <w:r>
        <w:rPr>
          <w:rFonts w:ascii="Arial" w:cs="Arial" w:eastAsia="Arial" w:hAnsi="Arial"/>
          <w:b/>
          <w:bCs/>
          <w:color w:val="185FA5"/>
          <w:sz w:val="24"/>
          <w:szCs w:val="24"/>
        </w:rPr>
        <w:t xml:space="preserve">Trial Design</w:t>
      </w:r>
    </w:p>
    <w:p>
      <w:pPr>
        <w:spacing w:after="80" w:before="40"/>
        <w:jc w:val="both"/>
      </w:pPr>
      <w:r>
        <w:rPr>
          <w:rFonts w:ascii="Arial" w:cs="Arial" w:eastAsia="Arial" w:hAnsi="Arial"/>
          <w:color w:val="2C2C2A"/>
          <w:sz w:val="20"/>
          <w:szCs w:val="20"/>
        </w:rPr>
        <w:t xml:space="preserve">3 conditions × 3 trials = 9 total simulation runs. Each trial introduces ±0.01° insertion angle noise to simulate real-world sensor margin-of-error, producing meaningful variance to average — scientifically justifying the need for multiple trials.</w:t>
      </w:r>
    </w:p>
    <w:p>
      <w:pPr>
        <w:spacing w:after="80" w:before="80"/>
      </w:pPr>
      <w:r>
        <w:t xml:space="preserve"/>
      </w:r>
    </w:p>
    <w:p>
      <w:pPr>
        <w:pStyle w:val="Heading2"/>
        <w:spacing w:after="80" w:before="240"/>
      </w:pPr>
      <w:r>
        <w:rPr>
          <w:rFonts w:ascii="Arial" w:cs="Arial" w:eastAsia="Arial" w:hAnsi="Arial"/>
          <w:b/>
          <w:bCs/>
          <w:color w:val="185FA5"/>
          <w:sz w:val="24"/>
          <w:szCs w:val="24"/>
        </w:rPr>
        <w:t xml:space="preserve">Step-by-Step Checklist</w:t>
      </w:r>
    </w:p>
    <w:p>
      <w:pPr>
        <w:pStyle w:val="ListParagraph"/>
        <w:numPr>
          <w:ilvl w:val="0"/>
          <w:numId w:val="3"/>
        </w:numPr>
        <w:spacing w:after="60" w:before="40"/>
      </w:pPr>
      <w:r>
        <w:rPr>
          <w:rFonts w:ascii="Arial" w:cs="Arial" w:eastAsia="Arial" w:hAnsi="Arial"/>
          <w:b/>
          <w:bCs/>
          <w:color w:val="185FA5"/>
          <w:sz w:val="20"/>
          <w:szCs w:val="20"/>
        </w:rPr>
        <w:t xml:space="preserve">Step 1 — </w:t>
      </w:r>
      <w:r>
        <w:rPr>
          <w:rFonts w:ascii="Arial" w:cs="Arial" w:eastAsia="Arial" w:hAnsi="Arial"/>
          <w:color w:val="2C2C2A"/>
          <w:sz w:val="20"/>
          <w:szCs w:val="20"/>
        </w:rPr>
        <w:t xml:space="preserve">Initialize simulation. Verify all NASA/NIST constants are hard-coded correctly.</w:t>
      </w:r>
    </w:p>
    <w:p>
      <w:pPr>
        <w:pStyle w:val="ListParagraph"/>
        <w:numPr>
          <w:ilvl w:val="0"/>
          <w:numId w:val="3"/>
        </w:numPr>
        <w:spacing w:after="60" w:before="40"/>
      </w:pPr>
      <w:r>
        <w:rPr>
          <w:rFonts w:ascii="Arial" w:cs="Arial" w:eastAsia="Arial" w:hAnsi="Arial"/>
          <w:b/>
          <w:bCs/>
          <w:color w:val="185FA5"/>
          <w:sz w:val="20"/>
          <w:szCs w:val="20"/>
        </w:rPr>
        <w:t xml:space="preserve">Step 2 — </w:t>
      </w:r>
      <w:r>
        <w:rPr>
          <w:rFonts w:ascii="Arial" w:cs="Arial" w:eastAsia="Arial" w:hAnsi="Arial"/>
          <w:color w:val="2C2C2A"/>
          <w:sz w:val="20"/>
          <w:szCs w:val="20"/>
        </w:rPr>
        <w:t xml:space="preserve">Lock all control variables. Confirm satellite mass = 40,000 kg, angle = 90°.</w:t>
      </w:r>
    </w:p>
    <w:p>
      <w:pPr>
        <w:pStyle w:val="ListParagraph"/>
        <w:numPr>
          <w:ilvl w:val="0"/>
          <w:numId w:val="3"/>
        </w:numPr>
        <w:spacing w:after="60" w:before="40"/>
      </w:pPr>
      <w:r>
        <w:rPr>
          <w:rFonts w:ascii="Arial" w:cs="Arial" w:eastAsia="Arial" w:hAnsi="Arial"/>
          <w:b/>
          <w:bCs/>
          <w:color w:val="185FA5"/>
          <w:sz w:val="20"/>
          <w:szCs w:val="20"/>
        </w:rPr>
        <w:t xml:space="preserve">Step 3 — </w:t>
      </w:r>
      <w:r>
        <w:rPr>
          <w:rFonts w:ascii="Arial" w:cs="Arial" w:eastAsia="Arial" w:hAnsi="Arial"/>
          <w:color w:val="2C2C2A"/>
          <w:sz w:val="20"/>
          <w:szCs w:val="20"/>
        </w:rPr>
        <w:t xml:space="preserve">Run Baseline condition (0.900 km/s), 3 trials with noise. Record perilune deviation.</w:t>
      </w:r>
    </w:p>
    <w:p>
      <w:pPr>
        <w:pStyle w:val="ListParagraph"/>
        <w:numPr>
          <w:ilvl w:val="0"/>
          <w:numId w:val="3"/>
        </w:numPr>
        <w:spacing w:after="60" w:before="40"/>
      </w:pPr>
      <w:r>
        <w:rPr>
          <w:rFonts w:ascii="Arial" w:cs="Arial" w:eastAsia="Arial" w:hAnsi="Arial"/>
          <w:b/>
          <w:bCs/>
          <w:color w:val="185FA5"/>
          <w:sz w:val="20"/>
          <w:szCs w:val="20"/>
        </w:rPr>
        <w:t xml:space="preserve">Step 4 — </w:t>
      </w:r>
      <w:r>
        <w:rPr>
          <w:rFonts w:ascii="Arial" w:cs="Arial" w:eastAsia="Arial" w:hAnsi="Arial"/>
          <w:color w:val="2C2C2A"/>
          <w:sz w:val="20"/>
          <w:szCs w:val="20"/>
        </w:rPr>
        <w:t xml:space="preserve">Run Under-speed condition (0.855 km/s, −5%), 3 trials. Record deviation. Expected: inward spiral.</w:t>
      </w:r>
    </w:p>
    <w:p>
      <w:pPr>
        <w:pStyle w:val="ListParagraph"/>
        <w:numPr>
          <w:ilvl w:val="0"/>
          <w:numId w:val="3"/>
        </w:numPr>
        <w:spacing w:after="60" w:before="40"/>
      </w:pPr>
      <w:r>
        <w:rPr>
          <w:rFonts w:ascii="Arial" w:cs="Arial" w:eastAsia="Arial" w:hAnsi="Arial"/>
          <w:b/>
          <w:bCs/>
          <w:color w:val="185FA5"/>
          <w:sz w:val="20"/>
          <w:szCs w:val="20"/>
        </w:rPr>
        <w:t xml:space="preserve">Step 5 — </w:t>
      </w:r>
      <w:r>
        <w:rPr>
          <w:rFonts w:ascii="Arial" w:cs="Arial" w:eastAsia="Arial" w:hAnsi="Arial"/>
          <w:color w:val="2C2C2A"/>
          <w:sz w:val="20"/>
          <w:szCs w:val="20"/>
        </w:rPr>
        <w:t xml:space="preserve">Run Over-speed condition (0.945 km/s, +5%), 3 trials. Record deviation. Expected: outward drift.</w:t>
      </w:r>
    </w:p>
    <w:p>
      <w:pPr>
        <w:pStyle w:val="ListParagraph"/>
        <w:numPr>
          <w:ilvl w:val="0"/>
          <w:numId w:val="3"/>
        </w:numPr>
        <w:spacing w:after="60" w:before="40"/>
      </w:pPr>
      <w:r>
        <w:rPr>
          <w:rFonts w:ascii="Arial" w:cs="Arial" w:eastAsia="Arial" w:hAnsi="Arial"/>
          <w:b/>
          <w:bCs/>
          <w:color w:val="185FA5"/>
          <w:sz w:val="20"/>
          <w:szCs w:val="20"/>
        </w:rPr>
        <w:t xml:space="preserve">Step 6 — </w:t>
      </w:r>
      <w:r>
        <w:rPr>
          <w:rFonts w:ascii="Arial" w:cs="Arial" w:eastAsia="Arial" w:hAnsi="Arial"/>
          <w:color w:val="2C2C2A"/>
          <w:sz w:val="20"/>
          <w:szCs w:val="20"/>
        </w:rPr>
        <w:t xml:space="preserve">Export all 9 data points. Calculate mean and standard deviation per condition.</w:t>
      </w:r>
    </w:p>
    <w:p>
      <w:pPr>
        <w:pStyle w:val="ListParagraph"/>
        <w:numPr>
          <w:ilvl w:val="0"/>
          <w:numId w:val="3"/>
        </w:numPr>
        <w:spacing w:after="60" w:before="40"/>
      </w:pPr>
      <w:r>
        <w:rPr>
          <w:rFonts w:ascii="Arial" w:cs="Arial" w:eastAsia="Arial" w:hAnsi="Arial"/>
          <w:b/>
          <w:bCs/>
          <w:color w:val="185FA5"/>
          <w:sz w:val="20"/>
          <w:szCs w:val="20"/>
        </w:rPr>
        <w:t xml:space="preserve">Step 7 — </w:t>
      </w:r>
      <w:r>
        <w:rPr>
          <w:rFonts w:ascii="Arial" w:cs="Arial" w:eastAsia="Arial" w:hAnsi="Arial"/>
          <w:color w:val="2C2C2A"/>
          <w:sz w:val="20"/>
          <w:szCs w:val="20"/>
        </w:rPr>
        <w:t xml:space="preserve">Connect results to hypothesis. Quantify thruster burn implication using NASA fuel cost reference.</w:t>
      </w:r>
    </w:p>
    <w:p>
      <w:pPr>
        <w:spacing w:after="160" w:before="160"/>
      </w:pPr>
      <w:r>
        <w:t xml:space="preserve"/>
      </w:r>
    </w:p>
    <w:p>
      <w:pPr>
        <w:spacing w:after="80" w:before="320"/>
      </w:pPr>
      <w:r>
        <w:rPr>
          <w:rFonts w:ascii="Arial" w:cs="Arial" w:eastAsia="Arial" w:hAnsi="Arial"/>
          <w:b/>
          <w:bCs/>
          <w:color w:val="5F5E5A"/>
          <w:spacing w:val="40"/>
          <w:sz w:val="16"/>
          <w:szCs w:val="16"/>
        </w:rPr>
        <w:t xml:space="preserve">SECTION 6 — DATA COLLECTION</w:t>
      </w:r>
    </w:p>
    <w:p>
      <w:pPr>
        <w:pStyle w:val="Heading1"/>
        <w:spacing w:after="80" w:before="200"/>
      </w:pPr>
      <w:r>
        <w:rPr>
          <w:rFonts w:ascii="Arial" w:cs="Arial" w:eastAsia="Arial" w:hAnsi="Arial"/>
          <w:b/>
          <w:bCs/>
          <w:color w:val="2C2C2A"/>
          <w:sz w:val="32"/>
          <w:szCs w:val="32"/>
        </w:rPr>
        <w:t xml:space="preserve">Data Collection Table</w:t>
      </w:r>
    </w:p>
    <w:p>
      <w:pPr>
        <w:pBdr>
          <w:bottom w:val="single" w:color="378ADD" w:sz="6"/>
        </w:pBdr>
        <w:spacing w:after="120" w:before="40"/>
      </w:pPr>
    </w:p>
    <w:p>
      <w:pPr>
        <w:spacing w:after="80" w:before="40"/>
        <w:jc w:val="both"/>
      </w:pPr>
      <w:r>
        <w:rPr>
          <w:rFonts w:ascii="Arial" w:cs="Arial" w:eastAsia="Arial" w:hAnsi="Arial"/>
          <w:color w:val="2C2C2A"/>
          <w:sz w:val="20"/>
          <w:szCs w:val="20"/>
        </w:rPr>
        <w:t xml:space="preserve">This table is pre-built in the website's Research Log tab and auto-populates as each trial is run. Fill in manually if running simulation offline.</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800"/>
        <w:gridCol w:w="2000"/>
        <w:gridCol w:w="1680"/>
        <w:gridCol w:w="1200"/>
      </w:tblGrid>
      <w:tr>
        <w:trPr>
          <w:tblHeader/>
        </w:trPr>
        <w:tc>
          <w:tcPr>
            <w:tcW w:type="dxa" w:w="10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Trial</w:t>
            </w:r>
          </w:p>
        </w:tc>
        <w:tc>
          <w:tcPr>
            <w:tcW w:type="dxa" w:w="24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Condition</w:t>
            </w:r>
          </w:p>
        </w:tc>
        <w:tc>
          <w:tcPr>
            <w:tcW w:type="dxa" w:w="18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Velocity</w:t>
            </w:r>
          </w:p>
        </w:tc>
        <w:tc>
          <w:tcPr>
            <w:tcW w:type="dxa" w:w="20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Perilune Dev. (km)</w:t>
            </w:r>
          </w:p>
        </w:tc>
        <w:tc>
          <w:tcPr>
            <w:tcW w:type="dxa" w:w="168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Stability</w:t>
            </w:r>
          </w:p>
        </w:tc>
        <w:tc>
          <w:tcPr>
            <w:tcW w:type="dxa" w:w="12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Thruster Risk</w:t>
            </w:r>
          </w:p>
        </w:tc>
      </w:tr>
      <w:tr>
        <w:tc>
          <w:tcPr>
            <w:tcW w:type="dxa" w:w="10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1</w:t>
            </w:r>
          </w:p>
        </w:tc>
        <w:tc>
          <w:tcPr>
            <w:tcW w:type="dxa" w:w="24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Baseline</w:t>
            </w:r>
          </w:p>
        </w:tc>
        <w:tc>
          <w:tcPr>
            <w:tcW w:type="dxa" w:w="18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0.900 km/s</w:t>
            </w:r>
          </w:p>
        </w:tc>
        <w:tc>
          <w:tcPr>
            <w:tcW w:type="dxa" w:w="20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c>
          <w:tcPr>
            <w:tcW w:type="dxa" w:w="168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c>
          <w:tcPr>
            <w:tcW w:type="dxa" w:w="12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r>
      <w:tr>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2</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Baseline</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0.900 km/s</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c>
          <w:tcPr>
            <w:tcW w:type="dxa" w:w="1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r>
      <w:tr>
        <w:tc>
          <w:tcPr>
            <w:tcW w:type="dxa" w:w="10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3</w:t>
            </w:r>
          </w:p>
        </w:tc>
        <w:tc>
          <w:tcPr>
            <w:tcW w:type="dxa" w:w="24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Baseline</w:t>
            </w:r>
          </w:p>
        </w:tc>
        <w:tc>
          <w:tcPr>
            <w:tcW w:type="dxa" w:w="18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0.900 km/s</w:t>
            </w:r>
          </w:p>
        </w:tc>
        <w:tc>
          <w:tcPr>
            <w:tcW w:type="dxa" w:w="20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c>
          <w:tcPr>
            <w:tcW w:type="dxa" w:w="168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c>
          <w:tcPr>
            <w:tcW w:type="dxa" w:w="12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r>
      <w:tr>
        <w:tc>
          <w:tcPr>
            <w:tcW w:type="dxa" w:w="10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4</w:t>
            </w:r>
          </w:p>
        </w:tc>
        <w:tc>
          <w:tcPr>
            <w:tcW w:type="dxa" w:w="24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Under-speed −5%</w:t>
            </w:r>
          </w:p>
        </w:tc>
        <w:tc>
          <w:tcPr>
            <w:tcW w:type="dxa" w:w="18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0.855 km/s</w:t>
            </w:r>
          </w:p>
        </w:tc>
        <w:tc>
          <w:tcPr>
            <w:tcW w:type="dxa" w:w="20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c>
          <w:tcPr>
            <w:tcW w:type="dxa" w:w="168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c>
          <w:tcPr>
            <w:tcW w:type="dxa" w:w="12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r>
      <w:tr>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5</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Under-speed −5%</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0.855 km/s</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c>
          <w:tcPr>
            <w:tcW w:type="dxa" w:w="1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r>
      <w:tr>
        <w:tc>
          <w:tcPr>
            <w:tcW w:type="dxa" w:w="10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6</w:t>
            </w:r>
          </w:p>
        </w:tc>
        <w:tc>
          <w:tcPr>
            <w:tcW w:type="dxa" w:w="24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Under-speed −5%</w:t>
            </w:r>
          </w:p>
        </w:tc>
        <w:tc>
          <w:tcPr>
            <w:tcW w:type="dxa" w:w="18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0.855 km/s</w:t>
            </w:r>
          </w:p>
        </w:tc>
        <w:tc>
          <w:tcPr>
            <w:tcW w:type="dxa" w:w="20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c>
          <w:tcPr>
            <w:tcW w:type="dxa" w:w="168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c>
          <w:tcPr>
            <w:tcW w:type="dxa" w:w="120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r>
      <w:tr>
        <w:tc>
          <w:tcPr>
            <w:tcW w:type="dxa" w:w="10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7</w:t>
            </w:r>
          </w:p>
        </w:tc>
        <w:tc>
          <w:tcPr>
            <w:tcW w:type="dxa" w:w="24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Over-speed +5%</w:t>
            </w:r>
          </w:p>
        </w:tc>
        <w:tc>
          <w:tcPr>
            <w:tcW w:type="dxa" w:w="18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0.945 km/s</w:t>
            </w:r>
          </w:p>
        </w:tc>
        <w:tc>
          <w:tcPr>
            <w:tcW w:type="dxa" w:w="20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c>
          <w:tcPr>
            <w:tcW w:type="dxa" w:w="168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c>
          <w:tcPr>
            <w:tcW w:type="dxa" w:w="12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r>
      <w:tr>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8</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Over-speed +5%</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0.945 km/s</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c>
          <w:tcPr>
            <w:tcW w:type="dxa" w:w="1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r>
      <w:tr>
        <w:tc>
          <w:tcPr>
            <w:tcW w:type="dxa" w:w="10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9</w:t>
            </w:r>
          </w:p>
        </w:tc>
        <w:tc>
          <w:tcPr>
            <w:tcW w:type="dxa" w:w="24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Over-speed +5%</w:t>
            </w:r>
          </w:p>
        </w:tc>
        <w:tc>
          <w:tcPr>
            <w:tcW w:type="dxa" w:w="18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0.945 km/s</w:t>
            </w:r>
          </w:p>
        </w:tc>
        <w:tc>
          <w:tcPr>
            <w:tcW w:type="dxa" w:w="20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c>
          <w:tcPr>
            <w:tcW w:type="dxa" w:w="168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c>
          <w:tcPr>
            <w:tcW w:type="dxa" w:w="12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r>
      <w:tr>
        <w:tc>
          <w:tcPr>
            <w:tcW w:type="dxa" w:w="1000"/>
            <w:tcBorders>
              <w:top w:val="single" w:color="D3D1C7" w:sz="1"/>
              <w:left w:val="single" w:color="D3D1C7" w:sz="1"/>
              <w:bottom w:val="single" w:color="D3D1C7" w:sz="1"/>
              <w:right w:val="single" w:color="D3D1C7" w:sz="1"/>
            </w:tcBorders>
            <w:shd w:fill="B5D4F4"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AVG</w:t>
            </w:r>
          </w:p>
        </w:tc>
        <w:tc>
          <w:tcPr>
            <w:tcW w:type="dxa" w:w="2400"/>
            <w:tcBorders>
              <w:top w:val="single" w:color="D3D1C7" w:sz="1"/>
              <w:left w:val="single" w:color="D3D1C7" w:sz="1"/>
              <w:bottom w:val="single" w:color="D3D1C7" w:sz="1"/>
              <w:right w:val="single" w:color="D3D1C7" w:sz="1"/>
            </w:tcBorders>
            <w:shd w:fill="B5D4F4"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Baseline</w:t>
            </w:r>
          </w:p>
        </w:tc>
        <w:tc>
          <w:tcPr>
            <w:tcW w:type="dxa" w:w="1800"/>
            <w:tcBorders>
              <w:top w:val="single" w:color="D3D1C7" w:sz="1"/>
              <w:left w:val="single" w:color="D3D1C7" w:sz="1"/>
              <w:bottom w:val="single" w:color="D3D1C7" w:sz="1"/>
              <w:right w:val="single" w:color="D3D1C7" w:sz="1"/>
            </w:tcBorders>
            <w:shd w:fill="B5D4F4"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0.900 km/s</w:t>
            </w:r>
          </w:p>
        </w:tc>
        <w:tc>
          <w:tcPr>
            <w:tcW w:type="dxa" w:w="2000"/>
            <w:tcBorders>
              <w:top w:val="single" w:color="D3D1C7" w:sz="1"/>
              <w:left w:val="single" w:color="D3D1C7" w:sz="1"/>
              <w:bottom w:val="single" w:color="D3D1C7" w:sz="1"/>
              <w:right w:val="single" w:color="D3D1C7" w:sz="1"/>
            </w:tcBorders>
            <w:shd w:fill="B5D4F4"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c>
          <w:tcPr>
            <w:tcW w:type="dxa" w:w="1680"/>
            <w:tcBorders>
              <w:top w:val="single" w:color="D3D1C7" w:sz="1"/>
              <w:left w:val="single" w:color="D3D1C7" w:sz="1"/>
              <w:bottom w:val="single" w:color="D3D1C7" w:sz="1"/>
              <w:right w:val="single" w:color="D3D1C7" w:sz="1"/>
            </w:tcBorders>
            <w:shd w:fill="B5D4F4"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w:t>
            </w:r>
          </w:p>
        </w:tc>
        <w:tc>
          <w:tcPr>
            <w:tcW w:type="dxa" w:w="1200"/>
            <w:tcBorders>
              <w:top w:val="single" w:color="D3D1C7" w:sz="1"/>
              <w:left w:val="single" w:color="D3D1C7" w:sz="1"/>
              <w:bottom w:val="single" w:color="D3D1C7" w:sz="1"/>
              <w:right w:val="single" w:color="D3D1C7" w:sz="1"/>
            </w:tcBorders>
            <w:shd w:fill="B5D4F4"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w:t>
            </w:r>
          </w:p>
        </w:tc>
      </w:tr>
      <w:tr>
        <w:tc>
          <w:tcPr>
            <w:tcW w:type="dxa" w:w="1000"/>
            <w:tcBorders>
              <w:top w:val="single" w:color="D3D1C7" w:sz="1"/>
              <w:left w:val="single" w:color="D3D1C7" w:sz="1"/>
              <w:bottom w:val="single" w:color="D3D1C7" w:sz="1"/>
              <w:right w:val="single" w:color="D3D1C7" w:sz="1"/>
            </w:tcBorders>
            <w:shd w:fill="F7C1C1"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AVG</w:t>
            </w:r>
          </w:p>
        </w:tc>
        <w:tc>
          <w:tcPr>
            <w:tcW w:type="dxa" w:w="2400"/>
            <w:tcBorders>
              <w:top w:val="single" w:color="D3D1C7" w:sz="1"/>
              <w:left w:val="single" w:color="D3D1C7" w:sz="1"/>
              <w:bottom w:val="single" w:color="D3D1C7" w:sz="1"/>
              <w:right w:val="single" w:color="D3D1C7" w:sz="1"/>
            </w:tcBorders>
            <w:shd w:fill="F7C1C1"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Under-speed</w:t>
            </w:r>
          </w:p>
        </w:tc>
        <w:tc>
          <w:tcPr>
            <w:tcW w:type="dxa" w:w="1800"/>
            <w:tcBorders>
              <w:top w:val="single" w:color="D3D1C7" w:sz="1"/>
              <w:left w:val="single" w:color="D3D1C7" w:sz="1"/>
              <w:bottom w:val="single" w:color="D3D1C7" w:sz="1"/>
              <w:right w:val="single" w:color="D3D1C7" w:sz="1"/>
            </w:tcBorders>
            <w:shd w:fill="F7C1C1"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0.855 km/s</w:t>
            </w:r>
          </w:p>
        </w:tc>
        <w:tc>
          <w:tcPr>
            <w:tcW w:type="dxa" w:w="2000"/>
            <w:tcBorders>
              <w:top w:val="single" w:color="D3D1C7" w:sz="1"/>
              <w:left w:val="single" w:color="D3D1C7" w:sz="1"/>
              <w:bottom w:val="single" w:color="D3D1C7" w:sz="1"/>
              <w:right w:val="single" w:color="D3D1C7" w:sz="1"/>
            </w:tcBorders>
            <w:shd w:fill="F7C1C1"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c>
          <w:tcPr>
            <w:tcW w:type="dxa" w:w="1680"/>
            <w:tcBorders>
              <w:top w:val="single" w:color="D3D1C7" w:sz="1"/>
              <w:left w:val="single" w:color="D3D1C7" w:sz="1"/>
              <w:bottom w:val="single" w:color="D3D1C7" w:sz="1"/>
              <w:right w:val="single" w:color="D3D1C7" w:sz="1"/>
            </w:tcBorders>
            <w:shd w:fill="F7C1C1"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w:t>
            </w:r>
          </w:p>
        </w:tc>
        <w:tc>
          <w:tcPr>
            <w:tcW w:type="dxa" w:w="1200"/>
            <w:tcBorders>
              <w:top w:val="single" w:color="D3D1C7" w:sz="1"/>
              <w:left w:val="single" w:color="D3D1C7" w:sz="1"/>
              <w:bottom w:val="single" w:color="D3D1C7" w:sz="1"/>
              <w:right w:val="single" w:color="D3D1C7" w:sz="1"/>
            </w:tcBorders>
            <w:shd w:fill="F7C1C1"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w:t>
            </w:r>
          </w:p>
        </w:tc>
      </w:tr>
      <w:tr>
        <w:tc>
          <w:tcPr>
            <w:tcW w:type="dxa" w:w="1000"/>
            <w:tcBorders>
              <w:top w:val="single" w:color="D3D1C7" w:sz="1"/>
              <w:left w:val="single" w:color="D3D1C7" w:sz="1"/>
              <w:bottom w:val="single" w:color="D3D1C7" w:sz="1"/>
              <w:right w:val="single" w:color="D3D1C7" w:sz="1"/>
            </w:tcBorders>
            <w:shd w:fill="FAC775"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AVG</w:t>
            </w:r>
          </w:p>
        </w:tc>
        <w:tc>
          <w:tcPr>
            <w:tcW w:type="dxa" w:w="2400"/>
            <w:tcBorders>
              <w:top w:val="single" w:color="D3D1C7" w:sz="1"/>
              <w:left w:val="single" w:color="D3D1C7" w:sz="1"/>
              <w:bottom w:val="single" w:color="D3D1C7" w:sz="1"/>
              <w:right w:val="single" w:color="D3D1C7" w:sz="1"/>
            </w:tcBorders>
            <w:shd w:fill="FAC775"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Over-speed</w:t>
            </w:r>
          </w:p>
        </w:tc>
        <w:tc>
          <w:tcPr>
            <w:tcW w:type="dxa" w:w="1800"/>
            <w:tcBorders>
              <w:top w:val="single" w:color="D3D1C7" w:sz="1"/>
              <w:left w:val="single" w:color="D3D1C7" w:sz="1"/>
              <w:bottom w:val="single" w:color="D3D1C7" w:sz="1"/>
              <w:right w:val="single" w:color="D3D1C7" w:sz="1"/>
            </w:tcBorders>
            <w:shd w:fill="FAC775"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0.945 km/s</w:t>
            </w:r>
          </w:p>
        </w:tc>
        <w:tc>
          <w:tcPr>
            <w:tcW w:type="dxa" w:w="2000"/>
            <w:tcBorders>
              <w:top w:val="single" w:color="D3D1C7" w:sz="1"/>
              <w:left w:val="single" w:color="D3D1C7" w:sz="1"/>
              <w:bottom w:val="single" w:color="D3D1C7" w:sz="1"/>
              <w:right w:val="single" w:color="D3D1C7" w:sz="1"/>
            </w:tcBorders>
            <w:shd w:fill="FAC775"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_______</w:t>
            </w:r>
          </w:p>
        </w:tc>
        <w:tc>
          <w:tcPr>
            <w:tcW w:type="dxa" w:w="1680"/>
            <w:tcBorders>
              <w:top w:val="single" w:color="D3D1C7" w:sz="1"/>
              <w:left w:val="single" w:color="D3D1C7" w:sz="1"/>
              <w:bottom w:val="single" w:color="D3D1C7" w:sz="1"/>
              <w:right w:val="single" w:color="D3D1C7" w:sz="1"/>
            </w:tcBorders>
            <w:shd w:fill="FAC775"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w:t>
            </w:r>
          </w:p>
        </w:tc>
        <w:tc>
          <w:tcPr>
            <w:tcW w:type="dxa" w:w="1200"/>
            <w:tcBorders>
              <w:top w:val="single" w:color="D3D1C7" w:sz="1"/>
              <w:left w:val="single" w:color="D3D1C7" w:sz="1"/>
              <w:bottom w:val="single" w:color="D3D1C7" w:sz="1"/>
              <w:right w:val="single" w:color="D3D1C7" w:sz="1"/>
            </w:tcBorders>
            <w:shd w:fill="FAC775" w:val="clear"/>
            <w:tcMar>
              <w:top w:type="dxa" w:w="80"/>
              <w:left w:type="dxa" w:w="120"/>
              <w:bottom w:type="dxa" w:w="80"/>
              <w:right w:type="dxa" w:w="120"/>
            </w:tcMar>
            <w:vAlign w:val="center"/>
          </w:tcPr>
          <w:p>
            <w:pPr>
              <w:jc w:val="center"/>
            </w:pPr>
            <w:r>
              <w:rPr>
                <w:rFonts w:ascii="Arial" w:cs="Arial" w:eastAsia="Arial" w:hAnsi="Arial"/>
                <w:color w:val="2C2C2A"/>
                <w:sz w:val="18"/>
                <w:szCs w:val="18"/>
              </w:rPr>
              <w:t xml:space="preserve">—</w:t>
            </w:r>
          </w:p>
        </w:tc>
      </w:tr>
    </w:tbl>
    <w:p>
      <w:pPr>
        <w:spacing w:after="160" w:before="160"/>
      </w:pPr>
      <w:r>
        <w:t xml:space="preserve"/>
      </w:r>
    </w:p>
    <w:p>
      <w:pPr>
        <w:spacing w:after="80" w:before="320"/>
      </w:pPr>
      <w:r>
        <w:rPr>
          <w:rFonts w:ascii="Arial" w:cs="Arial" w:eastAsia="Arial" w:hAnsi="Arial"/>
          <w:b/>
          <w:bCs/>
          <w:color w:val="5F5E5A"/>
          <w:spacing w:val="40"/>
          <w:sz w:val="16"/>
          <w:szCs w:val="16"/>
        </w:rPr>
        <w:t xml:space="preserve">SECTION 7 — CRITERION D</w:t>
      </w:r>
    </w:p>
    <w:p>
      <w:pPr>
        <w:pStyle w:val="Heading1"/>
        <w:spacing w:after="80" w:before="200"/>
      </w:pPr>
      <w:r>
        <w:rPr>
          <w:rFonts w:ascii="Arial" w:cs="Arial" w:eastAsia="Arial" w:hAnsi="Arial"/>
          <w:b/>
          <w:bCs/>
          <w:color w:val="2C2C2A"/>
          <w:sz w:val="32"/>
          <w:szCs w:val="32"/>
        </w:rPr>
        <w:t xml:space="preserve">Design Rationale</w:t>
      </w:r>
    </w:p>
    <w:p>
      <w:pPr>
        <w:pBdr>
          <w:bottom w:val="single" w:color="378ADD" w:sz="6"/>
        </w:pBdr>
        <w:spacing w:after="120" w:before="40"/>
      </w:pPr>
    </w:p>
    <w:p>
      <w:pPr>
        <w:spacing w:after="80" w:before="40"/>
        <w:jc w:val="both"/>
      </w:pPr>
      <w:r>
        <w:rPr>
          <w:rFonts w:ascii="Arial" w:cs="Arial" w:eastAsia="Arial" w:hAnsi="Arial"/>
          <w:color w:val="2C2C2A"/>
          <w:sz w:val="20"/>
          <w:szCs w:val="20"/>
        </w:rPr>
        <w:t xml:space="preserve">This section documents every major design decision and its scientific or pedagogical justification. This content must appear in the website's Design Rationale tab.</w:t>
      </w:r>
    </w:p>
    <w:p>
      <w:pPr>
        <w:spacing w:after="80" w:before="80"/>
      </w:pPr>
      <w:r>
        <w:t xml:space="preserve"/>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3D1C7" w:sz="1"/>
              <w:left w:val="single" w:color="D3D1C7" w:sz="1"/>
              <w:bottom w:val="single" w:color="D3D1C7" w:sz="1"/>
              <w:right w:val="single" w:color="D3D1C7" w:sz="1"/>
            </w:tcBorders>
            <w:shd w:fill="E6F1FB" w:val="clear"/>
            <w:tcMar>
              <w:top w:type="dxa" w:w="100"/>
              <w:left w:type="dxa" w:w="140"/>
              <w:bottom w:type="dxa" w:w="100"/>
              <w:right w:type="dxa" w:w="140"/>
            </w:tcMar>
            <w:vAlign w:val="center"/>
          </w:tcPr>
          <w:p>
            <w:r>
              <w:rPr>
                <w:rFonts w:ascii="Arial" w:cs="Arial" w:eastAsia="Arial" w:hAnsi="Arial"/>
                <w:b/>
                <w:bCs/>
                <w:color w:val="185FA5"/>
                <w:sz w:val="19"/>
                <w:szCs w:val="19"/>
              </w:rPr>
              <w:t xml:space="preserve">Why sliders, not text inputs?</w:t>
            </w:r>
          </w:p>
        </w:tc>
        <w:tc>
          <w:tcPr>
            <w:tcW w:type="dxa" w:w="68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jc w:val="both"/>
            </w:pPr>
            <w:r>
              <w:rPr>
                <w:rFonts w:ascii="Arial" w:cs="Arial" w:eastAsia="Arial" w:hAnsi="Arial"/>
                <w:color w:val="2C2C2A"/>
                <w:sz w:val="19"/>
                <w:szCs w:val="19"/>
              </w:rPr>
              <w:t xml:space="preserve">Sliders constrain user inputs to physically realistic ranges, preventing invalid entries and mirroring how real mission control systems restrict operator input to safe operational envelopes. This is a deliberate design choice, not a convenience.</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3D1C7" w:sz="1"/>
              <w:left w:val="single" w:color="D3D1C7" w:sz="1"/>
              <w:bottom w:val="single" w:color="D3D1C7" w:sz="1"/>
              <w:right w:val="single" w:color="D3D1C7" w:sz="1"/>
            </w:tcBorders>
            <w:shd w:fill="E6F1FB" w:val="clear"/>
            <w:tcMar>
              <w:top w:type="dxa" w:w="100"/>
              <w:left w:type="dxa" w:w="140"/>
              <w:bottom w:type="dxa" w:w="100"/>
              <w:right w:type="dxa" w:w="140"/>
            </w:tcMar>
            <w:vAlign w:val="center"/>
          </w:tcPr>
          <w:p>
            <w:r>
              <w:rPr>
                <w:rFonts w:ascii="Arial" w:cs="Arial" w:eastAsia="Arial" w:hAnsi="Arial"/>
                <w:b/>
                <w:bCs/>
                <w:color w:val="185FA5"/>
                <w:sz w:val="19"/>
                <w:szCs w:val="19"/>
              </w:rPr>
              <w:t xml:space="preserve">Why a live graph, not a static table?</w:t>
            </w:r>
          </w:p>
        </w:tc>
        <w:tc>
          <w:tcPr>
            <w:tcW w:type="dxa" w:w="68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jc w:val="both"/>
            </w:pPr>
            <w:r>
              <w:rPr>
                <w:rFonts w:ascii="Arial" w:cs="Arial" w:eastAsia="Arial" w:hAnsi="Arial"/>
                <w:color w:val="2C2C2A"/>
                <w:sz w:val="19"/>
                <w:szCs w:val="19"/>
              </w:rPr>
              <w:t xml:space="preserve">Real-time plotting mirrors NASA telemetry dashboards and allows the examiner and user to observe orbital decay as it happens, making the causal relationship between insertion velocity and NRHO stability immediately visible and intuitive.</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3D1C7" w:sz="1"/>
              <w:left w:val="single" w:color="D3D1C7" w:sz="1"/>
              <w:bottom w:val="single" w:color="D3D1C7" w:sz="1"/>
              <w:right w:val="single" w:color="D3D1C7" w:sz="1"/>
            </w:tcBorders>
            <w:shd w:fill="E6F1FB" w:val="clear"/>
            <w:tcMar>
              <w:top w:type="dxa" w:w="100"/>
              <w:left w:type="dxa" w:w="140"/>
              <w:bottom w:type="dxa" w:w="100"/>
              <w:right w:type="dxa" w:w="140"/>
            </w:tcMar>
            <w:vAlign w:val="center"/>
          </w:tcPr>
          <w:p>
            <w:r>
              <w:rPr>
                <w:rFonts w:ascii="Arial" w:cs="Arial" w:eastAsia="Arial" w:hAnsi="Arial"/>
                <w:b/>
                <w:bCs/>
                <w:color w:val="185FA5"/>
                <w:sz w:val="19"/>
                <w:szCs w:val="19"/>
              </w:rPr>
              <w:t xml:space="preserve">Why NRHO specifically?</w:t>
            </w:r>
          </w:p>
        </w:tc>
        <w:tc>
          <w:tcPr>
            <w:tcW w:type="dxa" w:w="68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jc w:val="both"/>
            </w:pPr>
            <w:r>
              <w:rPr>
                <w:rFonts w:ascii="Arial" w:cs="Arial" w:eastAsia="Arial" w:hAnsi="Arial"/>
                <w:color w:val="2C2C2A"/>
                <w:sz w:val="19"/>
                <w:szCs w:val="19"/>
              </w:rPr>
              <w:t xml:space="preserve">Circular orbits are the standard introductory case taught at grade level. NRHO is a real three-body, highly elliptical orbit representing the actual engineering challenge NASA faces. Choosing it demonstrates research depth and scientific initiative well beyond the provided examples.</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3D1C7" w:sz="1"/>
              <w:left w:val="single" w:color="D3D1C7" w:sz="1"/>
              <w:bottom w:val="single" w:color="D3D1C7" w:sz="1"/>
              <w:right w:val="single" w:color="D3D1C7" w:sz="1"/>
            </w:tcBorders>
            <w:shd w:fill="E6F1FB" w:val="clear"/>
            <w:tcMar>
              <w:top w:type="dxa" w:w="100"/>
              <w:left w:type="dxa" w:w="140"/>
              <w:bottom w:type="dxa" w:w="100"/>
              <w:right w:type="dxa" w:w="140"/>
            </w:tcMar>
            <w:vAlign w:val="center"/>
          </w:tcPr>
          <w:p>
            <w:r>
              <w:rPr>
                <w:rFonts w:ascii="Arial" w:cs="Arial" w:eastAsia="Arial" w:hAnsi="Arial"/>
                <w:b/>
                <w:bCs/>
                <w:color w:val="185FA5"/>
                <w:sz w:val="19"/>
                <w:szCs w:val="19"/>
              </w:rPr>
              <w:t xml:space="preserve">Why hard-coded NASA/NIST constants?</w:t>
            </w:r>
          </w:p>
        </w:tc>
        <w:tc>
          <w:tcPr>
            <w:tcW w:type="dxa" w:w="68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jc w:val="both"/>
            </w:pPr>
            <w:r>
              <w:rPr>
                <w:rFonts w:ascii="Arial" w:cs="Arial" w:eastAsia="Arial" w:hAnsi="Arial"/>
                <w:color w:val="2C2C2A"/>
                <w:sz w:val="19"/>
                <w:szCs w:val="19"/>
              </w:rPr>
              <w:t xml:space="preserve">Using verified, cited physical constants ensures the simulation produces scientifically defensible results rather than abstract approximations, directly bridging the digital model to real Artemis mission parameters.</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3D1C7" w:sz="1"/>
              <w:left w:val="single" w:color="D3D1C7" w:sz="1"/>
              <w:bottom w:val="single" w:color="D3D1C7" w:sz="1"/>
              <w:right w:val="single" w:color="D3D1C7" w:sz="1"/>
            </w:tcBorders>
            <w:shd w:fill="E6F1FB" w:val="clear"/>
            <w:tcMar>
              <w:top w:type="dxa" w:w="100"/>
              <w:left w:type="dxa" w:w="140"/>
              <w:bottom w:type="dxa" w:w="100"/>
              <w:right w:type="dxa" w:w="140"/>
            </w:tcMar>
            <w:vAlign w:val="center"/>
          </w:tcPr>
          <w:p>
            <w:r>
              <w:rPr>
                <w:rFonts w:ascii="Arial" w:cs="Arial" w:eastAsia="Arial" w:hAnsi="Arial"/>
                <w:b/>
                <w:bCs/>
                <w:color w:val="185FA5"/>
                <w:sz w:val="19"/>
                <w:szCs w:val="19"/>
              </w:rPr>
              <w:t xml:space="preserve">Why ±0.01° noise per trial?</w:t>
            </w:r>
          </w:p>
        </w:tc>
        <w:tc>
          <w:tcPr>
            <w:tcW w:type="dxa" w:w="68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jc w:val="both"/>
            </w:pPr>
            <w:r>
              <w:rPr>
                <w:rFonts w:ascii="Arial" w:cs="Arial" w:eastAsia="Arial" w:hAnsi="Arial"/>
                <w:color w:val="2C2C2A"/>
                <w:sz w:val="19"/>
                <w:szCs w:val="19"/>
              </w:rPr>
              <w:t xml:space="preserve">A deterministic simulation always produces identical results, making multiple trials meaningless. Introducing sensor-margin noise creates real variance, giving the dataset a legitimate mean and standard deviation — exactly what IB Criterion C analysis requires.</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3D1C7" w:sz="1"/>
              <w:left w:val="single" w:color="D3D1C7" w:sz="1"/>
              <w:bottom w:val="single" w:color="D3D1C7" w:sz="1"/>
              <w:right w:val="single" w:color="D3D1C7" w:sz="1"/>
            </w:tcBorders>
            <w:shd w:fill="E6F1FB" w:val="clear"/>
            <w:tcMar>
              <w:top w:type="dxa" w:w="100"/>
              <w:left w:type="dxa" w:w="140"/>
              <w:bottom w:type="dxa" w:w="100"/>
              <w:right w:type="dxa" w:w="140"/>
            </w:tcMar>
            <w:vAlign w:val="center"/>
          </w:tcPr>
          <w:p>
            <w:r>
              <w:rPr>
                <w:rFonts w:ascii="Arial" w:cs="Arial" w:eastAsia="Arial" w:hAnsi="Arial"/>
                <w:b/>
                <w:bCs/>
                <w:color w:val="185FA5"/>
                <w:sz w:val="19"/>
                <w:szCs w:val="19"/>
              </w:rPr>
              <w:t xml:space="preserve">Why include a Design Rationale tab?</w:t>
            </w:r>
          </w:p>
        </w:tc>
        <w:tc>
          <w:tcPr>
            <w:tcW w:type="dxa" w:w="688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140"/>
            </w:tcMar>
          </w:tcPr>
          <w:p>
            <w:pPr>
              <w:jc w:val="both"/>
            </w:pPr>
            <w:r>
              <w:rPr>
                <w:rFonts w:ascii="Arial" w:cs="Arial" w:eastAsia="Arial" w:hAnsi="Arial"/>
                <w:color w:val="2C2C2A"/>
                <w:sz w:val="19"/>
                <w:szCs w:val="19"/>
              </w:rPr>
              <w:t xml:space="preserve">IB Criterion D explicitly rewards students who demonstrate intentional, justified design thinking. Documenting the 'why' behind every feature directly addresses this criterion and differentiates a Grade 7 response from a Grade 5 one.</w:t>
            </w:r>
          </w:p>
        </w:tc>
      </w:tr>
    </w:tbl>
    <w:p>
      <w:pPr>
        <w:spacing w:after="160" w:before="160"/>
      </w:pPr>
      <w:r>
        <w:t xml:space="preserve"/>
      </w:r>
    </w:p>
    <w:p>
      <w:pPr>
        <w:spacing w:after="80" w:before="320"/>
      </w:pPr>
      <w:r>
        <w:rPr>
          <w:rFonts w:ascii="Arial" w:cs="Arial" w:eastAsia="Arial" w:hAnsi="Arial"/>
          <w:b/>
          <w:bCs/>
          <w:color w:val="5F5E5A"/>
          <w:spacing w:val="40"/>
          <w:sz w:val="16"/>
          <w:szCs w:val="16"/>
        </w:rPr>
        <w:t xml:space="preserve">SECTION 8 — BIBLIOGRAPHY</w:t>
      </w:r>
    </w:p>
    <w:p>
      <w:pPr>
        <w:pStyle w:val="Heading1"/>
        <w:spacing w:after="80" w:before="200"/>
      </w:pPr>
      <w:r>
        <w:rPr>
          <w:rFonts w:ascii="Arial" w:cs="Arial" w:eastAsia="Arial" w:hAnsi="Arial"/>
          <w:b/>
          <w:bCs/>
          <w:color w:val="2C2C2A"/>
          <w:sz w:val="32"/>
          <w:szCs w:val="32"/>
        </w:rPr>
        <w:t xml:space="preserve">Sources &amp; Citations</w:t>
      </w:r>
    </w:p>
    <w:p>
      <w:pPr>
        <w:pBdr>
          <w:bottom w:val="single" w:color="378ADD" w:sz="6"/>
        </w:pBdr>
        <w:spacing w:after="120" w:before="40"/>
      </w:pPr>
    </w:p>
    <w:p>
      <w:pPr>
        <w:spacing w:after="80" w:before="40"/>
        <w:jc w:val="both"/>
      </w:pPr>
      <w:r>
        <w:rPr>
          <w:rFonts w:ascii="Arial" w:cs="Arial" w:eastAsia="Arial" w:hAnsi="Arial"/>
          <w:color w:val="2C2C2A"/>
          <w:sz w:val="20"/>
          <w:szCs w:val="20"/>
        </w:rPr>
        <w:t xml:space="preserve">All sources below must appear in APA format on the website's Sources tab.</w:t>
      </w:r>
    </w:p>
    <w:p>
      <w:pPr>
        <w:spacing w:after="80" w:before="80"/>
      </w:pPr>
      <w:r>
        <w:t xml:space="preserve"/>
      </w:r>
    </w:p>
    <w:p>
      <w:pPr>
        <w:spacing w:after="60" w:before="60"/>
        <w:ind w:left="560" w:hanging="560"/>
      </w:pPr>
      <w:r>
        <w:rPr>
          <w:rFonts w:ascii="Arial" w:cs="Arial" w:eastAsia="Arial" w:hAnsi="Arial"/>
          <w:color w:val="2C2C2A"/>
          <w:sz w:val="18"/>
          <w:szCs w:val="18"/>
        </w:rPr>
        <w:t xml:space="preserve">NASA. (2022). Gateway: About. NASA.gov. https://www.nasa.gov/reference/gateway-about/</w:t>
      </w:r>
    </w:p>
    <w:p>
      <w:pPr>
        <w:spacing w:after="60" w:before="60"/>
        <w:ind w:left="560" w:hanging="560"/>
      </w:pPr>
      <w:r>
        <w:rPr>
          <w:rFonts w:ascii="Arial" w:cs="Arial" w:eastAsia="Arial" w:hAnsi="Arial"/>
          <w:color w:val="2C2C2A"/>
          <w:sz w:val="18"/>
          <w:szCs w:val="18"/>
        </w:rPr>
        <w:t xml:space="preserve">European Space Agency. (2022). Gateway overview. ESA.int. https://www.esa.int/Science_Exploration/Human_and_Robotic_Exploration/Exploration/Gateway</w:t>
      </w:r>
    </w:p>
    <w:p>
      <w:pPr>
        <w:spacing w:after="60" w:before="60"/>
        <w:ind w:left="560" w:hanging="560"/>
      </w:pPr>
      <w:r>
        <w:rPr>
          <w:rFonts w:ascii="Arial" w:cs="Arial" w:eastAsia="Arial" w:hAnsi="Arial"/>
          <w:color w:val="2C2C2A"/>
          <w:sz w:val="18"/>
          <w:szCs w:val="18"/>
        </w:rPr>
        <w:t xml:space="preserve">NASA. (2023). Artemis: Moon to Mars. NASA.gov. https://www3.nasa.gov/specials/artemis/</w:t>
      </w:r>
    </w:p>
    <w:p>
      <w:pPr>
        <w:spacing w:after="60" w:before="60"/>
        <w:ind w:left="560" w:hanging="560"/>
      </w:pPr>
      <w:r>
        <w:rPr>
          <w:rFonts w:ascii="Arial" w:cs="Arial" w:eastAsia="Arial" w:hAnsi="Arial"/>
          <w:color w:val="2C2C2A"/>
          <w:sz w:val="18"/>
          <w:szCs w:val="18"/>
        </w:rPr>
        <w:t xml:space="preserve">NIST. (2023). CODATA internationally recommended values of the fundamental physical constants. NIST.gov.</w:t>
      </w:r>
    </w:p>
    <w:p>
      <w:pPr>
        <w:spacing w:after="60" w:before="60"/>
        <w:ind w:left="560" w:hanging="560"/>
      </w:pPr>
      <w:r>
        <w:rPr>
          <w:rFonts w:ascii="Arial" w:cs="Arial" w:eastAsia="Arial" w:hAnsi="Arial"/>
          <w:color w:val="2C2C2A"/>
          <w:sz w:val="18"/>
          <w:szCs w:val="18"/>
        </w:rPr>
        <w:t xml:space="preserve">NASA. (2022). Lunar fact sheet. NASA Goddard Space Flight Center.</w:t>
      </w:r>
    </w:p>
    <w:p>
      <w:pPr>
        <w:spacing w:after="60" w:before="60"/>
        <w:ind w:left="560" w:hanging="560"/>
      </w:pPr>
      <w:r>
        <w:rPr>
          <w:rFonts w:ascii="Arial" w:cs="Arial" w:eastAsia="Arial" w:hAnsi="Arial"/>
          <w:color w:val="2C2C2A"/>
          <w:sz w:val="18"/>
          <w:szCs w:val="18"/>
        </w:rPr>
        <w:t xml:space="preserve">University of Colorado. (2023). Gravity and orbits [Interactive simulation]. PhET Interactive Simulations. https://phet.colorado.edu</w:t>
      </w:r>
    </w:p>
    <w:p>
      <w:pPr>
        <w:spacing w:after="60" w:before="60"/>
        <w:ind w:left="560" w:hanging="560"/>
      </w:pPr>
      <w:r>
        <w:rPr>
          <w:rFonts w:ascii="Arial" w:cs="Arial" w:eastAsia="Arial" w:hAnsi="Arial"/>
          <w:color w:val="2C2C2A"/>
          <w:sz w:val="18"/>
          <w:szCs w:val="18"/>
        </w:rPr>
        <w:t xml:space="preserve">AZoBuild. (2022). Lunar regolith radiation shielding. AZoBuild.com. https://www.azobuild.com/article.aspx?ArticleID=8794</w:t>
      </w:r>
    </w:p>
    <w:p>
      <w:pPr>
        <w:spacing w:after="160" w:before="160"/>
      </w:pPr>
      <w:r>
        <w:t xml:space="preserve"/>
      </w:r>
    </w:p>
    <w:p>
      <w:pPr>
        <w:spacing w:after="80" w:before="320"/>
      </w:pPr>
      <w:r>
        <w:rPr>
          <w:rFonts w:ascii="Arial" w:cs="Arial" w:eastAsia="Arial" w:hAnsi="Arial"/>
          <w:b/>
          <w:bCs/>
          <w:color w:val="5F5E5A"/>
          <w:spacing w:val="40"/>
          <w:sz w:val="16"/>
          <w:szCs w:val="16"/>
        </w:rPr>
        <w:t xml:space="preserve">SECTION 9 — SUBMISSION CHECKLIST</w:t>
      </w:r>
    </w:p>
    <w:p>
      <w:pPr>
        <w:pStyle w:val="Heading1"/>
        <w:spacing w:after="80" w:before="200"/>
      </w:pPr>
      <w:r>
        <w:rPr>
          <w:rFonts w:ascii="Arial" w:cs="Arial" w:eastAsia="Arial" w:hAnsi="Arial"/>
          <w:b/>
          <w:bCs/>
          <w:color w:val="2C2C2A"/>
          <w:sz w:val="32"/>
          <w:szCs w:val="32"/>
        </w:rPr>
        <w:t xml:space="preserve">Grade 7 Final Checklist</w:t>
      </w:r>
    </w:p>
    <w:p>
      <w:pPr>
        <w:pBdr>
          <w:bottom w:val="single" w:color="378ADD" w:sz="6"/>
        </w:pBdr>
        <w:spacing w:after="12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854F0B" w:sz="18"/>
              <w:bottom w:val="none" w:color="FFFFFF" w:sz="0"/>
              <w:right w:val="none" w:color="FFFFFF" w:sz="0"/>
            </w:tcBorders>
            <w:shd w:fill="FAEEDA" w:val="clear"/>
            <w:tcMar>
              <w:top w:type="dxa" w:w="120"/>
              <w:left w:type="dxa" w:w="160"/>
              <w:bottom w:type="dxa" w:w="120"/>
              <w:right w:type="dxa" w:w="160"/>
            </w:tcMar>
          </w:tcPr>
          <w:p>
            <w:pPr>
              <w:jc w:val="both"/>
            </w:pPr>
            <w:r>
              <w:rPr>
                <w:rFonts w:ascii="Arial" w:cs="Arial" w:eastAsia="Arial" w:hAnsi="Arial"/>
                <w:b/>
                <w:bCs/>
                <w:i/>
                <w:iCs/>
                <w:color w:val="2C2C2A"/>
                <w:sz w:val="20"/>
                <w:szCs w:val="20"/>
              </w:rPr>
              <w:t xml:space="preserve">Complete every item below before submission. Each checkbox maps to a specific IB criterion. A partial checklist = a partial grade.</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880"/>
      </w:tblGrid>
      <w:tr>
        <w:trPr>
          <w:tblHeader/>
        </w:trPr>
        <w:tc>
          <w:tcPr>
            <w:tcW w:type="dxa" w:w="12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Done?</w:t>
            </w:r>
          </w:p>
        </w:tc>
        <w:tc>
          <w:tcPr>
            <w:tcW w:type="dxa" w:w="60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w:t>
            </w:r>
          </w:p>
        </w:tc>
        <w:tc>
          <w:tcPr>
            <w:tcW w:type="dxa" w:w="288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IB Criterion</w:t>
            </w:r>
          </w:p>
        </w:tc>
      </w:tr>
      <w:tr>
        <w:tc>
          <w:tcPr>
            <w:tcW w:type="dxa" w:w="12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 ]</w:t>
            </w:r>
          </w:p>
        </w:tc>
        <w:tc>
          <w:tcPr>
            <w:tcW w:type="dxa" w:w="60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Research question is precise, testable, and references NRHO specifically</w:t>
            </w:r>
          </w:p>
        </w:tc>
        <w:tc>
          <w:tcPr>
            <w:tcW w:type="dxa" w:w="288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Criterion B</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 ]</w:t>
            </w:r>
          </w:p>
        </w:tc>
        <w:tc>
          <w:tcPr>
            <w:tcW w:type="dxa" w:w="6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Hypothesis uses If/Then/Because with cited baseline velocity and perilune altitude</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Criterion B</w:t>
            </w:r>
          </w:p>
        </w:tc>
      </w:tr>
      <w:tr>
        <w:tc>
          <w:tcPr>
            <w:tcW w:type="dxa" w:w="12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 ]</w:t>
            </w:r>
          </w:p>
        </w:tc>
        <w:tc>
          <w:tcPr>
            <w:tcW w:type="dxa" w:w="60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All 6 NASA/NIST constants hard-coded and visible on Methodology page</w:t>
            </w:r>
          </w:p>
        </w:tc>
        <w:tc>
          <w:tcPr>
            <w:tcW w:type="dxa" w:w="288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Criterion B + C</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 ]</w:t>
            </w:r>
          </w:p>
        </w:tc>
        <w:tc>
          <w:tcPr>
            <w:tcW w:type="dxa" w:w="6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3 velocity conditions × 3 trials = 9 total simulation runs completed</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Criterion C</w:t>
            </w:r>
          </w:p>
        </w:tc>
      </w:tr>
      <w:tr>
        <w:tc>
          <w:tcPr>
            <w:tcW w:type="dxa" w:w="12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 ]</w:t>
            </w:r>
          </w:p>
        </w:tc>
        <w:tc>
          <w:tcPr>
            <w:tcW w:type="dxa" w:w="60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±0.01° noise applied per trial to justify variance across trials</w:t>
            </w:r>
          </w:p>
        </w:tc>
        <w:tc>
          <w:tcPr>
            <w:tcW w:type="dxa" w:w="288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Criterion C</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 ]</w:t>
            </w:r>
          </w:p>
        </w:tc>
        <w:tc>
          <w:tcPr>
            <w:tcW w:type="dxa" w:w="6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Mean and standard deviation calculated for each condition</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Criterion C</w:t>
            </w:r>
          </w:p>
        </w:tc>
      </w:tr>
      <w:tr>
        <w:tc>
          <w:tcPr>
            <w:tcW w:type="dxa" w:w="12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 ]</w:t>
            </w:r>
          </w:p>
        </w:tc>
        <w:tc>
          <w:tcPr>
            <w:tcW w:type="dxa" w:w="60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Auto-generated line graph populated with all 9 data points</w:t>
            </w:r>
          </w:p>
        </w:tc>
        <w:tc>
          <w:tcPr>
            <w:tcW w:type="dxa" w:w="288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Criterion C</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 ]</w:t>
            </w:r>
          </w:p>
        </w:tc>
        <w:tc>
          <w:tcPr>
            <w:tcW w:type="dxa" w:w="6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Data table includes Thruster Risk Implication column</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Criterion C</w:t>
            </w:r>
          </w:p>
        </w:tc>
      </w:tr>
      <w:tr>
        <w:tc>
          <w:tcPr>
            <w:tcW w:type="dxa" w:w="12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 ]</w:t>
            </w:r>
          </w:p>
        </w:tc>
        <w:tc>
          <w:tcPr>
            <w:tcW w:type="dxa" w:w="60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Analysis explicitly connects results back to hypothesis</w:t>
            </w:r>
          </w:p>
        </w:tc>
        <w:tc>
          <w:tcPr>
            <w:tcW w:type="dxa" w:w="288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Criterion C</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 ]</w:t>
            </w:r>
          </w:p>
        </w:tc>
        <w:tc>
          <w:tcPr>
            <w:tcW w:type="dxa" w:w="6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Design Rationale tab complete with all 6 justified decisions</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Criterion D</w:t>
            </w:r>
          </w:p>
        </w:tc>
      </w:tr>
      <w:tr>
        <w:tc>
          <w:tcPr>
            <w:tcW w:type="dxa" w:w="12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 ]</w:t>
            </w:r>
          </w:p>
        </w:tc>
        <w:tc>
          <w:tcPr>
            <w:tcW w:type="dxa" w:w="60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Sources tab complete with 7 APA-formatted citations</w:t>
            </w:r>
          </w:p>
        </w:tc>
        <w:tc>
          <w:tcPr>
            <w:tcW w:type="dxa" w:w="288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Criterion D</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 ]</w:t>
            </w:r>
          </w:p>
        </w:tc>
        <w:tc>
          <w:tcPr>
            <w:tcW w:type="dxa" w:w="6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Website is functional, navigable, and visually polished</w:t>
            </w:r>
          </w:p>
        </w:tc>
        <w:tc>
          <w:tcPr>
            <w:tcW w:type="dxa" w:w="28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left"/>
            </w:pPr>
            <w:r>
              <w:rPr>
                <w:rFonts w:ascii="Arial" w:cs="Arial" w:eastAsia="Arial" w:hAnsi="Arial"/>
                <w:color w:val="2C2C2A"/>
                <w:sz w:val="18"/>
                <w:szCs w:val="18"/>
              </w:rPr>
              <w:t xml:space="preserve">Criterion D</w:t>
            </w:r>
          </w:p>
        </w:tc>
      </w:tr>
    </w:tbl>
    <w:p>
      <w:pPr>
        <w:spacing w:after="16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3B6D11" w:sz="18"/>
              <w:bottom w:val="none" w:color="FFFFFF" w:sz="0"/>
              <w:right w:val="none" w:color="FFFFFF" w:sz="0"/>
            </w:tcBorders>
            <w:shd w:fill="EAF3DE" w:val="clear"/>
            <w:tcMar>
              <w:top w:type="dxa" w:w="120"/>
              <w:left w:type="dxa" w:w="160"/>
              <w:bottom w:type="dxa" w:w="120"/>
              <w:right w:type="dxa" w:w="160"/>
            </w:tcMar>
          </w:tcPr>
          <w:p>
            <w:pPr>
              <w:jc w:val="both"/>
            </w:pPr>
            <w:r>
              <w:rPr>
                <w:rFonts w:ascii="Arial" w:cs="Arial" w:eastAsia="Arial" w:hAnsi="Arial"/>
                <w:b/>
                <w:bCs/>
                <w:i/>
                <w:iCs/>
                <w:color w:val="2C2C2A"/>
                <w:sz w:val="20"/>
                <w:szCs w:val="20"/>
              </w:rPr>
              <w:t xml:space="preserve">You are ready for a 7. Build the simulation, fill the data table, complete the checklist, and submit with confidence. — Claude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C2C2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85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2026-05-25T02:57:05.625Z</dcterms:created>
  <dcterms:modified xsi:type="dcterms:W3CDTF">2026-05-25T02:57:05.625Z</dcterms:modified>
</cp:coreProperties>
</file>

<file path=docProps/custom.xml><?xml version="1.0" encoding="utf-8"?>
<Properties xmlns="http://schemas.openxmlformats.org/officeDocument/2006/custom-properties" xmlns:vt="http://schemas.openxmlformats.org/officeDocument/2006/docPropsVTypes"/>
</file>