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0.xml" ContentType="application/vnd.openxmlformats-officedocument.drawingml.chart+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pPr>
      <w:r>
        <w:rPr>
          <w:b/>
        </w:rPr>
        <w:t>Title</w:t>
      </w:r>
      <w:r>
        <w:rPr/>
        <w:t>: 대장균 생육 곡선</w:t>
      </w:r>
    </w:p>
    <w:p>
      <w:pPr>
        <w:pStyle w:val="0"/>
        <w:widowControl w:val="off"/>
        <w:rPr>
          <w:b/>
          <w:color w:val="000000"/>
        </w:rPr>
      </w:pPr>
    </w:p>
    <w:p>
      <w:pPr>
        <w:pStyle w:val="0"/>
        <w:widowControl w:val="off"/>
      </w:pPr>
      <w:r>
        <w:rPr>
          <w:b/>
        </w:rPr>
        <w:t>Date</w:t>
      </w:r>
      <w:r>
        <w:rPr/>
        <w:t>: 2024.03.16</w:t>
      </w:r>
    </w:p>
    <w:p>
      <w:pPr>
        <w:pStyle w:val="0"/>
        <w:widowControl w:val="off"/>
        <w:rPr>
          <w:b/>
          <w:color w:val="000000"/>
        </w:rPr>
      </w:pPr>
    </w:p>
    <w:p>
      <w:pPr>
        <w:pStyle w:val="0"/>
        <w:widowControl w:val="off"/>
      </w:pPr>
      <w:r>
        <w:rPr>
          <w:b/>
        </w:rPr>
        <w:t xml:space="preserve">Material: </w:t>
      </w:r>
    </w:p>
    <w:p>
      <w:pPr>
        <w:pStyle w:val="0"/>
        <w:widowControl w:val="off"/>
      </w:pPr>
      <w:r>
        <w:rPr/>
        <w:t xml:space="preserve"> LB 액체배지, E. coli, Shaking incubator, alcohol lamp, 멸균 이쑤시개, </w:t>
      </w:r>
      <w:r>
        <w:tab/>
      </w:r>
      <w:r>
        <w:tab/>
        <w:rPr/>
        <w:t xml:space="preserve">       Stopper, 흡광도 측정 기계(Spectrophotometer), Cuvette, Pipette, Tip</w:t>
      </w:r>
    </w:p>
    <w:p>
      <w:pPr>
        <w:pStyle w:val="0"/>
        <w:widowControl w:val="off"/>
      </w:pPr>
      <w:r>
        <w:rPr/>
        <w:t xml:space="preserve">  </w:t>
      </w:r>
    </w:p>
    <w:p>
      <w:pPr>
        <w:pStyle w:val="0"/>
        <w:widowControl w:val="off"/>
      </w:pPr>
      <w:r>
        <w:rPr>
          <w:b/>
        </w:rPr>
        <w:t>Procedure</w:t>
      </w:r>
    </w:p>
    <w:p>
      <w:pPr>
        <w:pStyle w:val="0"/>
        <w:widowControl w:val="off"/>
      </w:pPr>
      <w:r>
        <w:rPr/>
        <w:t xml:space="preserve"> 1. 전 배양: 본 배양 하루 전날 5ml LB 액체 배지에 접종 후, 37</w:t>
      </w:r>
      <w:r>
        <w:rPr/>
        <w:t>℃</w:t>
      </w:r>
      <w:r>
        <w:rPr/>
        <w:t xml:space="preserve"> Shaking incubator에</w:t>
      </w:r>
      <w:r>
        <w:tab/>
        <w:rPr/>
        <w:t xml:space="preserve">     서 overnight</w:t>
      </w:r>
    </w:p>
    <w:p>
      <w:pPr>
        <w:pStyle w:val="0"/>
        <w:widowControl w:val="off"/>
      </w:pPr>
      <w:r>
        <w:rPr/>
        <w:t xml:space="preserve"> 2. 본 배양: 본 배양 400 ml LB 액체배지에 전 배양한 것을 4 ml 접종 후 37</w:t>
      </w:r>
      <w:r>
        <w:rPr/>
        <w:t>℃</w:t>
      </w:r>
      <w:r>
        <w:rPr/>
        <w:t xml:space="preserve"> Shaking </w:t>
      </w:r>
      <w:r>
        <w:tab/>
        <w:rPr/>
        <w:t xml:space="preserve">     incubator에 24시간을 기준으로 2시간마다 희석 배수를 달리하여 OD(흡광도) </w:t>
      </w:r>
      <w:r>
        <w:tab/>
        <w:rPr/>
        <w:t xml:space="preserve">     값 측정한다. </w:t>
      </w:r>
    </w:p>
    <w:p>
      <w:pPr>
        <w:pStyle w:val="0"/>
        <w:widowControl w:val="off"/>
      </w:pPr>
      <w:r>
        <w:rPr>
          <w:b/>
        </w:rPr>
        <w:t>Result</w:t>
      </w:r>
    </w:p>
    <w:p>
      <w:pPr>
        <w:pStyle w:val="0"/>
        <w:widowControl w:val="off"/>
        <w:rPr>
          <w:b/>
          <w:color w:val="000000"/>
        </w:rPr>
      </w:pPr>
    </w:p>
    <w:p>
      <w:pPr>
        <w:pStyle w:val="0"/>
        <w:widowControl w:val="off"/>
      </w:pPr>
      <w:r>
        <w:drawing>
          <wp:inline distT="0" distB="0" distL="0" distR="0">
            <wp:extent cx="2591943" cy="2951988"/>
            <wp:effectExtent l="0" t="0" r="0" b="0"/>
            <wp:docPr id="10" name="차트 %d 10"/>
            <wp:cNvGraphicFramePr/>
            <a:graphic>
              <a:graphicData uri="http://schemas.openxmlformats.org/drawingml/2006/chart">
                <c:chart r:id="rId1"/>
              </a:graphicData>
            </a:graphic>
          </wp:inline>
        </w:drawing>
        <w:rPr/>
        <w:t xml:space="preserve"> </w:t>
      </w:r>
      <w:r>
        <w:drawing>
          <wp:inline distT="0" distB="0" distL="0" distR="0">
            <wp:extent cx="2591943" cy="2951988"/>
            <wp:effectExtent l="0" t="0" r="0" b="0"/>
            <wp:docPr id="11" name="그림 %d 11"/>
            <wp:cNvGraphicFramePr/>
            <a:graphic>
              <a:graphicData uri="http://schemas.openxmlformats.org/drawingml/2006/picture">
                <pic:pic>
                  <pic:nvPicPr>
                    <pic:cNvPr id="0" name="C:\Users\현경\AppData\Local\Temp\Hnc\BinData\EMB00005a3c2025.jpg"/>
                    <pic:cNvPicPr/>
                  </pic:nvPicPr>
                  <pic:blipFill>
                    <a:blip r:embed="rId2"/>
                    <a:stretch>
                      <a:fillRect/>
                    </a:stretch>
                  </pic:blipFill>
                  <pic:spPr>
                    <a:xfrm>
                      <a:off x="0" y="0"/>
                      <a:ext cx="2591943" cy="2951988"/>
                    </a:xfrm>
                    <a:prstGeom prst="rect">
                      <a:avLst/>
                    </a:prstGeom>
                    <a:effectLst/>
                  </pic:spPr>
                </pic:pic>
              </a:graphicData>
            </a:graphic>
          </wp:inline>
        </w:drawing>
      </w:r>
    </w:p>
    <w:p>
      <w:pPr>
        <w:pStyle w:val="0"/>
        <w:widowControl w:val="off"/>
        <w:rPr>
          <w:b/>
          <w:color w:val="000000"/>
        </w:rPr>
      </w:pPr>
    </w:p>
    <w:p>
      <w:pPr>
        <w:pStyle w:val="0"/>
        <w:widowControl w:val="off"/>
      </w:pPr>
      <w:r>
        <w:rPr>
          <w:b/>
        </w:rPr>
        <w:t>Discussions</w:t>
      </w:r>
    </w:p>
    <w:p>
      <w:pPr>
        <w:pStyle w:val="0"/>
        <w:widowControl w:val="off"/>
      </w:pPr>
      <w:r>
        <w:rPr/>
        <w:t xml:space="preserve"> 유도기의 경우 세포가 새로운 환경에서 적응하는 단계이다. 미생물이 새로운 환경에서 증식이 필요한 요소와 각종 효소를 합성하는 단계로써 미생물의 상태, 배양 조건에 따라 길거나 짧아질 수 있으며, 대수증식기와 같은 환경에서 측정하면 측정이 어려울 수 있다. </w:t>
      </w:r>
    </w:p>
    <w:p>
      <w:pPr>
        <w:pStyle w:val="0"/>
        <w:widowControl w:val="off"/>
      </w:pPr>
      <w:r>
        <w:rPr/>
        <w:t xml:space="preserve"> 세균 수 측정법은 총 균 수 측정법과 생균 수 측정법으로 구분된다. 총 균 수 측정법은 생 군과 사균 모두 측정하는 방법이며, 생균 수 측정법은 생균의 수만 측정하는 방법이다. 총 균 수 측정법은 제품의 살균 처리되기 전의 오염도와 취급상태를 확인할 때 사용하며 예를 들어 우유의 멸균 작업에서 이러한 방법을 사용한다. 생균 수 측정법은 가열 살균된 제품이 판매될 때 식중독을 발생시킬 수 있는 살아있는 세균을 확인할 때 사용한다. </w:t>
      </w:r>
    </w:p>
    <w:p>
      <w:pPr>
        <w:pStyle w:val="0"/>
        <w:widowControl w:val="off"/>
      </w:pPr>
      <w:r>
        <w:rPr/>
        <w:t xml:space="preserve"> 대표적인 생균 수 측정법으로는 평판 계수법이 있으며 평판 계수법은 도말 평판법과 분주 평판법이 있다. 도말 평판법은 고체배지를 준비하여 시료를 고체배지 표면에 분주하여 도말 막대를 사용하여 시료가 스며들도록 해준 뒤, 일반적으로 37</w:t>
      </w:r>
      <w:r>
        <w:rPr/>
        <w:t>℃에서</w:t>
      </w:r>
      <w:r>
        <w:rPr/>
        <w:t xml:space="preserve"> 24~48시간 배양하여 고체배지 표면에 자란 균의 집락을 확인할 수 있다. 주입 평판법은 굳히기 전의 고체배지에 시료를 주입하여 섞은 후 plate에 부어 굳힘과 동시에 40</w:t>
      </w:r>
      <w:r>
        <w:rPr/>
        <w:t>℃</w:t>
      </w:r>
      <w:r>
        <w:rPr/>
        <w:t xml:space="preserve"> 이상의 고온에서 배양하는 방법이다. 균 집락이 배지 표면뿐만 아니라 내부에서도 형성되며 세균의 산소 요구도에 따라 배지 표면과 아래쪽에서 형성 속도와 크기에 차이가 날 수 있다. 이러한 방법을 사용하여 균을 배양한 후 형성된 집락의 수를 세어준다. 이때 colony forming unit, CFU가 생균 측정 단위로 사용된다. </w:t>
      </w:r>
    </w:p>
    <w:p>
      <w:pPr>
        <w:pStyle w:val="0"/>
        <w:widowControl w:val="off"/>
      </w:pPr>
      <w:r>
        <w:rPr/>
        <w:t xml:space="preserve"> 일반 세균수 측정은 시료 내에 살아있는 세균의 밀도 또는 수를 측정하는 방법이 있다. 검출하는 방법으로는 표준 평판법, 건조 필름 법, 저온 세균수 측정법, 내열성 세균수 측정법이 있다. 그중 표준 평판법은 한천배지에 미생물 밀도가 높은 배양액을 단계적으로 희석한 검체를 혼합, 응고시켜 배양 후 발생한 세균 집락 수(colony)를 계수하여 검체 중의 생균 수를 산출하는 방법이다. 이렇게 총 세균 수와 생균 수를 측정하여 사 균의 수를 유사하게 측정할 수 있다. </w:t>
      </w:r>
    </w:p>
    <w:p>
      <w:pPr>
        <w:pStyle w:val="0"/>
        <w:widowControl w:val="off"/>
      </w:pPr>
      <w:r>
        <w:rPr/>
        <w:t xml:space="preserve"> 형광 현미경이 개발되고 DAN 와 RNA에 결합하는 형광염료인 acridine orange로 염색할 경우, 젊은 세포는 주황색으로, 활성이 적은 세포는 녹색으로 보인다는 결과에서 ‘살아있는 세균’의 비율을 측정할 수 있으나 판정 기준이 모호하여 재현성이 매우 낮아서 개발된 방법이 quantitative direct viable count(qDVC) 법이다. qDVC법은 DVC법을 변형시킨 것으로 항생 물질과 glycine 처리를 통해 spheroplast를 형성한 세균을 선택적으로 용해 시키는 방법이다. qDVC 방법에서 가장 중요한 것은 세균의 세포벽 형성을 방해하는 glycine의 농도이다. 기존의 ‘살아있는 세균’을 측정하는 방법들은 생리 대사 과정의 산물을 이용하는 방법이다. 이 방법들은 미약한 생리 대사일 경우에는 확인이 어려운 단점이 있었다. 하지만, qDVC 방법을 통하면 결국에는 살아있는 생균들은 융해되어 사라져 ‘죽었거나 휴지기인 상태의 세균’은 융해되지 않고 남아있는 것을 확인할 수 있다. qDVC 방법은 Gram 음성균에서 매우 유효한 방법임을 확인하였다. 따라서 Gram 음성균인 대장균의 측정에 도움을 줄 수 있음을 알 수 있다. </w:t>
      </w:r>
    </w:p>
    <w:p>
      <w:pPr>
        <w:pStyle w:val="0"/>
        <w:widowControl w:val="off"/>
      </w:pPr>
      <w:r>
        <w:rPr/>
        <w:t xml:space="preserve"> 대장균 생장곡선 실험을 통해 흡광도 측정에서 OD 값은 시료에 빛을 반사하는 물질이 많아 투과량이 적어질수록 높아지며 이를 통해 시료에 있는 대장균의 양이 많음을 알 수 있다. 미생물의 개체 수는 공간과 영양분의 부족이 없다면 계속 증식하는 생장곡선이 그려져야 한다. 하지만, 실제 미생물의 생장곡선은 그렇지 않음을 통해 여러 환경적 요인에 의해 미생물의 증식에 영향을 끼친다는 것을 알 수 있다. 생장에 영향을 주는 요인으로는 pH, 온도, 수분, 산소 등이 있으며, 각각의 요인들은 독립적인 요소가 아닌 상호작용을 한다. 실험에 있어 멸균을 통해 다른 외부적 요인이 없도록 주의해야 하며, Shaking incubator가 계속 회전하는 이유는 대장균은 통성혐기성균이므로 운동을 통해 산소를 꾸준히 주입해주어야 하기 때문이다.</w:t>
      </w:r>
    </w:p>
    <w:p>
      <w:pPr>
        <w:pStyle w:val="0"/>
        <w:widowControl w:val="off"/>
        <w:rPr/>
      </w:pPr>
    </w:p>
    <w:p>
      <w:pPr>
        <w:pStyle w:val="0"/>
        <w:widowControl w:val="off"/>
      </w:pPr>
      <w:r>
        <w:rPr>
          <w:b/>
        </w:rPr>
        <w:t>References</w:t>
      </w:r>
    </w:p>
    <w:p>
      <w:pPr>
        <w:pStyle w:val="0"/>
        <w:widowControl w:val="off"/>
      </w:pPr>
      <w:r>
        <w:rPr/>
        <w:t xml:space="preserve"> 김미리, 서은영, 최승익, 안태석 ‘호주 생태계에서 살아있는 세균을 측정하기 위한 qDVC 방법의 적용’ 강원대학교 환경연구소, 2006, 205~209</w:t>
      </w:r>
    </w:p>
    <w:p>
      <w:pPr>
        <w:pStyle w:val="0"/>
        <w:widowControl w:val="off"/>
      </w:pPr>
      <w:r>
        <w:rPr/>
        <w:t xml:space="preserve"> 식품 위생 안전 전문기업 세니젠, [미생물 이론] 생균 수 측정하기, 2023</w:t>
      </w:r>
    </w:p>
    <w:sectPr>
      <w:footnotePr>
        <w:numFmt w:val="decimal"/>
        <w:numRestart w:val="continuous"/>
      </w:footnotePr>
      <w:endnotePr>
        <w:pos w:val="docEnd"/>
        <w:numFmt w:val="decimal"/>
        <w:numRestart w:val="continuous"/>
      </w:endnotePr>
      <w:pgSz w:w="11906" w:h="16837"/>
      <w:pgMar w:top="1984" w:right="1701" w:bottom="1701" w:left="1701" w:header="1134"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ganada"/>
      <w:suff w:val="space"/>
      <w:lvlText w:val="%8"/>
      <w:lvlJc w:val="left"/>
    </w:lvl>
    <w:lvl w:ilvl="8">
      <w:start w:val="1"/>
      <w:numFmt w:val="chosung"/>
      <w:suff w:val="space"/>
      <w:lvlText w:val=""/>
      <w:lvlJc w:val="left"/>
    </w:lvl>
  </w:abstractNum>
  <w:abstractNum w:abstractNumId="20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pStyle w:val="9"/>
    </w:lvl>
    <w:lvl w:ilvl="8">
      <w:start w:val="1"/>
      <w:numFmt w:val="chosung"/>
      <w:suff w:val="space"/>
      <w:lvlText w:val=""/>
      <w:lvlJc w:val="left"/>
    </w:lvl>
  </w:abstractNum>
  <w:abstractNum w:abstractNumId="21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pStyle w:val="10"/>
    </w:lvl>
  </w:abstractNum>
  <w:abstractNum w:abstractNumId="211">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999999"/>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999999"/>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999999"/>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999999"/>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999999"/>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999999"/>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999999"/>
    </w:rPr>
  </w:style>
  <w:style w:type="paragraph" w:styleId="9">
    <w:name w:val="개요 8"/>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outlineLvl w:val="7"/>
      <w:numPr>
        <w:numId w:val="209"/>
        <w:ilvl w:val="7"/>
      </w:numPr>
    </w:pPr>
    <w:rPr>
      <w:rFonts w:ascii="함초롬바탕" w:eastAsia="함초롬바탕"/>
      <w:color w:val="000000"/>
      <w:sz w:val="20"/>
      <w:shd w:val="clear" w:color="999999"/>
    </w:rPr>
  </w:style>
  <w:style w:type="paragraph" w:styleId="10">
    <w:name w:val="개요 9"/>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outlineLvl w:val="8"/>
      <w:numPr>
        <w:numId w:val="210"/>
        <w:ilvl w:val="8"/>
      </w:numPr>
    </w:pPr>
    <w:rPr>
      <w:rFonts w:ascii="함초롬바탕" w:eastAsia="함초롬바탕"/>
      <w:color w:val="000000"/>
      <w:sz w:val="20"/>
      <w:shd w:val="clear" w:color="999999"/>
    </w:rPr>
  </w:style>
  <w:style w:type="paragraph" w:styleId="11">
    <w:name w:val="개요 10"/>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outlineLvl w:val="9"/>
      <w:numPr>
        <w:numId w:val="211"/>
        <w:ilvl w:val="9"/>
      </w:numPr>
    </w:pPr>
    <w:rPr>
      <w:rFonts w:ascii="함초롬바탕" w:eastAsia="함초롬바탕"/>
      <w:color w:val="000000"/>
      <w:sz w:val="20"/>
      <w:shd w:val="clear" w:color="999999"/>
    </w:rPr>
  </w:style>
  <w:style w:type="character" w:styleId="12">
    <w:name w:val="쪽 번호"/>
    <w:uiPriority w:val="12"/>
    <w:rPr>
      <w:rFonts w:ascii="함초롬돋움" w:eastAsia="함초롬돋움"/>
      <w:color w:val="000000"/>
      <w:sz w:val="20"/>
      <w:shd w:val="clear" w:color="999999"/>
    </w:rPr>
  </w:style>
  <w:style w:type="paragraph" w:styleId="13">
    <w:name w:val="머리말"/>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999999"/>
    </w:rPr>
  </w:style>
  <w:style w:type="paragraph" w:styleId="14">
    <w:name w:val="각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5">
    <w:name w:val="미주"/>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6">
    <w:name w:val="메모"/>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999999"/>
    </w:rPr>
  </w:style>
  <w:style w:type="paragraph" w:styleId="17">
    <w:name w:val="차례 제목"/>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color w:val="2e74b5"/>
      <w:sz w:val="32"/>
      <w:shd w:val="clear" w:color="999999"/>
    </w:rPr>
  </w:style>
  <w:style w:type="paragraph" w:styleId="18">
    <w:name w:val="차례 1"/>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color w:val="000000"/>
      <w:sz w:val="22"/>
      <w:shd w:val="clear" w:color="999999"/>
    </w:rPr>
  </w:style>
  <w:style w:type="paragraph" w:styleId="19">
    <w:name w:val="차례 2"/>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color w:val="000000"/>
      <w:sz w:val="22"/>
      <w:shd w:val="clear" w:color="999999"/>
    </w:rPr>
  </w:style>
  <w:style w:type="paragraph" w:styleId="20">
    <w:name w:val="차례 3"/>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color w:val="000000"/>
      <w:sz w:val="22"/>
      <w:shd w:val="clear" w:color="999999"/>
    </w:rPr>
  </w:style>
  <w:style w:type="paragraph" w:styleId="21">
    <w:name w:val="캡션"/>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360" w:lineRule="auto"/>
      <w:ind w:left="0" w:right="0" w:firstLine="0"/>
      <w:jc w:val="both"/>
      <w:textAlignment w:val="baseline"/>
    </w:pPr>
    <w:rPr>
      <w:rFonts w:ascii="함초롬바탕" w:eastAsia="함초롬바탕"/>
      <w:color w:val="000000"/>
      <w:sz w:val="20"/>
      <w:shd w:val="clear" w:color="999999"/>
    </w:rPr>
  </w:style>
</w:styles>
</file>

<file path=word/_rels/document.xml.rels><?xml version="1.0" encoding="UTF-8" standalone="yes" ?><Relationships xmlns="http://schemas.openxmlformats.org/package/2006/relationships"><Relationship Id="rId1" Type="http://schemas.openxmlformats.org/officeDocument/2006/relationships/chart" Target="charts/chart0.xml"  /><Relationship Id="rId2" Type="http://schemas.openxmlformats.org/officeDocument/2006/relationships/image" Target="media/image9.jpeg"  /><Relationship Id="rId3" Type="http://schemas.openxmlformats.org/officeDocument/2006/relationships/settings" Target="settings.xml"  /><Relationship Id="rId4" Type="http://schemas.openxmlformats.org/officeDocument/2006/relationships/styles" Target="styles.xml"  /><Relationship Id="rId5" Type="http://schemas.openxmlformats.org/officeDocument/2006/relationships/numbering" Target="numbering.xml"  /></Relationships>
</file>

<file path=word/charts/chart0.xml><?xml version="1.0" encoding="utf-8"?>
<c:chartSpace xmlns:r="http://schemas.openxmlformats.org/officeDocument/2006/relationships" xmlns:a="http://schemas.openxmlformats.org/drawingml/2006/main" xmlns:c="http://schemas.openxmlformats.org/drawingml/2006/chart">
  <c:date1904 val="0"/>
  <mc:AlternateContent xmlns:mc="http://schemas.openxmlformats.org/markup-compatibility/2006">
    <mc:Choice xmlns:c14="http://schemas.microsoft.com/office/drawing/2007/8/2/chart" Requires="c14">
      <c14:style val="102"/>
    </mc:Choice>
    <mc:Fallback>
      <c:style val="2"/>
    </mc:Fallback>
  </mc:AlternateContent>
  <c:roundedCorners val="0"/>
  <c:chart>
    <c:title>
      <c:tx>
        <c:rich>
          <a:bodyPr rot="0" vert="horz" wrap="none" lIns="0" tIns="0" rIns="0" bIns="0" anchor="ctr" anchorCtr="1"/>
          <a:p>
            <a:pPr algn="l">
              <a:defRPr sz="1400" b="0" i="0" u="none">
                <a:solidFill>
                  <a:sysClr val="windowText" lastClr="000000"/>
                </a:solidFill>
                <a:latin typeface="Calibri"/>
                <a:ea typeface="맑은 고딕"/>
                <a:cs typeface="맑은 고딕"/>
                <a:sym typeface="맑은 고딕"/>
              </a:defRPr>
            </a:pPr>
            <a:r>
              <a:rPr sz="1400" b="0" i="0" u="none">
                <a:solidFill>
                  <a:sysClr val="windowText" lastClr="000000"/>
                </a:solidFill>
                <a:latin typeface="Calibri"/>
                <a:ea typeface="맑은 고딕"/>
                <a:cs typeface="맑은 고딕"/>
                <a:sym typeface="맑은 고딕"/>
              </a:rPr>
              <a:t>1</a:t>
            </a:r>
            <a:endParaRPr/>
          </a:p>
        </c:rich>
      </c:tx>
      <c:layout>
        <c:manualLayout>
          <c:xMode val="edge"/>
          <c:yMode val="edge"/>
          <c:x val="0.4804195761680603"/>
          <c:y val="0.024103280156850815"/>
        </c:manualLayout>
      </c:layout>
      <c:overlay val="0"/>
      <c:spPr>
        <a:ln w="9525" cap="flat" cmpd="sng" algn="ctr">
          <a:noFill/>
          <a:prstDash val="solid"/>
          <a:round/>
          <a:headEnd w="med" len="med"/>
          <a:tailEnd w="med" len="med"/>
        </a:ln>
      </c:spPr>
    </c:title>
    <c:autoTitleDeleted val="0"/>
    <c:plotArea>
      <c:layout/>
      <c:scatterChart>
        <c:scatterStyle val="marker"/>
        <c:varyColors val="0"/>
        <c:ser>
          <c:idx val="0"/>
          <c:order val="0"/>
          <c:tx>
            <c:strRef>
              <c:f>Sheet1!$F$4</c:f>
              <c:strCache>
                <c:ptCount val="1"/>
                <c:pt idx="0">
                  <c:v>Real OD값</c:v>
                </c:pt>
              </c:strCache>
            </c:strRef>
          </c:tx>
          <c:spPr>
            <a:ln w="28575" cap="flat" cmpd="sng" algn="ctr">
              <a:noFill/>
              <a:prstDash val="solid"/>
              <a:round/>
              <a:headEnd w="med" len="med"/>
              <a:tailEnd w="med" len="med"/>
            </a:ln>
          </c:spPr>
          <c:marker>
            <c:symbol val="circle"/>
            <c:size val="7"/>
          </c:marker>
          <c:xVal>
            <c:numRef>
              <c:f>Sheet1!$C$5:$C$17</c:f>
              <c:numCache>
                <c:formatCode>General</c:formatCode>
                <c:ptCount val="13"/>
                <c:pt idx="0">
                  <c:v>0</c:v>
                </c:pt>
                <c:pt idx="1">
                  <c:v>2</c:v>
                </c:pt>
                <c:pt idx="2">
                  <c:v>4</c:v>
                </c:pt>
                <c:pt idx="3">
                  <c:v>6</c:v>
                </c:pt>
                <c:pt idx="4">
                  <c:v>8</c:v>
                </c:pt>
                <c:pt idx="5">
                  <c:v>10</c:v>
                </c:pt>
                <c:pt idx="6">
                  <c:v>12</c:v>
                </c:pt>
                <c:pt idx="7">
                  <c:v>14</c:v>
                </c:pt>
                <c:pt idx="8">
                  <c:v>16</c:v>
                </c:pt>
                <c:pt idx="9">
                  <c:v>18</c:v>
                </c:pt>
                <c:pt idx="10">
                  <c:v>20</c:v>
                </c:pt>
                <c:pt idx="11">
                  <c:v>22</c:v>
                </c:pt>
                <c:pt idx="12">
                  <c:v>24</c:v>
                </c:pt>
              </c:numCache>
            </c:numRef>
          </c:xVal>
          <c:yVal>
            <c:numRef>
              <c:f>Sheet1!$F$5:$F$17</c:f>
              <c:numCache>
                <c:formatCode>General</c:formatCode>
                <c:ptCount val="13"/>
                <c:pt idx="0">
                  <c:v>0.027</c:v>
                </c:pt>
                <c:pt idx="1">
                  <c:v>0.245</c:v>
                </c:pt>
                <c:pt idx="2">
                  <c:v>1.296</c:v>
                </c:pt>
                <c:pt idx="3">
                  <c:v>2.169</c:v>
                </c:pt>
                <c:pt idx="4">
                  <c:v>2.788</c:v>
                </c:pt>
                <c:pt idx="5">
                  <c:v>3.184</c:v>
                </c:pt>
                <c:pt idx="6">
                  <c:v>3.765</c:v>
                </c:pt>
                <c:pt idx="7">
                  <c:v>3.594</c:v>
                </c:pt>
                <c:pt idx="8">
                  <c:v>3.5</c:v>
                </c:pt>
                <c:pt idx="9">
                  <c:v>3.52</c:v>
                </c:pt>
                <c:pt idx="10">
                  <c:v>3.65</c:v>
                </c:pt>
                <c:pt idx="11">
                  <c:v>2.94</c:v>
                </c:pt>
                <c:pt idx="12">
                  <c:v>3.03</c:v>
                </c:pt>
              </c:numCache>
            </c:numRef>
          </c:yVal>
          <c:smooth val="0"/>
        </c:ser>
        <c:axId val="524603015"/>
        <c:axId val="86517978"/>
      </c:scatterChart>
      <c:valAx>
        <c:axId val="524603015"/>
        <c:scaling>
          <c:orientation val="minMax"/>
          <c:max val="24"/>
        </c:scaling>
        <c:axPos val="b"/>
        <c:crossAx val="86517978"/>
        <c:delete val="0"/>
        <c:numFmt formatCode="General" sourceLinked="1"/>
        <c:majorTickMark val="none"/>
        <c:minorTickMark val="none"/>
        <c:tickLblPos val="nextTo"/>
        <c:spPr>
          <a:solidFill>
            <a:srgbClr val="ffffff"/>
          </a:solidFill>
          <a:ln w="9525" cap="flat" cmpd="sng" algn="ctr">
            <a:solidFill>
              <a:schemeClr val="dk1"/>
            </a:solidFill>
            <a:prstDash val="solid"/>
            <a:round/>
            <a:headEnd w="med" len="med"/>
            <a:tailEnd w="med" len="med"/>
          </a:ln>
        </c:spPr>
        <c:crosses val="autoZero"/>
        <c:crossBetween val="between"/>
        <c:majorUnit val="2"/>
        <c:minorUnit val="1"/>
      </c:valAx>
      <c:valAx>
        <c:axId val="86517978"/>
        <c:scaling>
          <c:orientation val="minMax"/>
        </c:scaling>
        <c:axPos val="l"/>
        <c:crossAx val="524603015"/>
        <c:delete val="0"/>
        <c:majorGridlines>
          <c:spPr>
            <a:ln w="9525" cap="flat" cmpd="sng" algn="ctr">
              <a:noFill/>
              <a:prstDash val="solid"/>
              <a:round/>
              <a:headEnd w="med" len="med"/>
              <a:tailEnd w="med" len="med"/>
            </a:ln>
          </c:spPr>
        </c:majorGridlines>
        <c:numFmt formatCode="General" sourceLinked="1"/>
        <c:majorTickMark val="out"/>
        <c:minorTickMark val="none"/>
        <c:tickLblPos val="nextTo"/>
        <c:crosses val="autoZero"/>
        <c:crossBetween val="between"/>
      </c:valAx>
      <c:spPr>
        <a:ln w="9525" cap="flat" cmpd="sng" algn="ctr">
          <a:noFill/>
          <a:prstDash val="solid"/>
          <a:round/>
          <a:headEnd w="med" len="med"/>
          <a:tailEnd w="med" len="med"/>
        </a:ln>
      </c:spPr>
    </c:plotArea>
    <c:plotVisOnly val="0"/>
    <c:dispBlanksAs val="gap"/>
  </c:chart>
  <c:txPr>
    <a:bodyPr rot="0" vert="horz" wrap="none" lIns="0" tIns="0" rIns="0" bIns="0" anchor="ctr" anchorCtr="1"/>
    <a:p>
      <a:pPr algn="l">
        <a:defRPr sz="1000" b="0" i="0" u="none">
          <a:latin typeface="Calibri"/>
          <a:ea typeface="맑은 고딕"/>
          <a:cs typeface="맑은 고딕"/>
          <a:sym typeface="맑은 고딕"/>
        </a:defRPr>
      </a:pPr>
      <a:endParaRPr/>
    </a:p>
  </c:txPr>
  <c:extLst>
    <c:ext uri="CC8EB2C9-7E31-499d-B8F2-F6CE61031016">
      <ho:hncChartStyle xmlns:ho="http://schemas.haansoft.com/office/8.0" layoutIndex="-1" colorIndex="0" styleIndex="0"/>
    </c:ext>
  </c:extLst>
</c:chartSpace>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Title</dc:title>
  <dc:creator>현종</dc:creator>
  <cp:lastModifiedBy>현경</cp:lastModifiedBy>
  <dcterms:created xsi:type="dcterms:W3CDTF">2024-03-09T11:25:08.000</dcterms:created>
  <dcterms:modified xsi:type="dcterms:W3CDTF">2024-03-17T03:08:56.700</dcterms:modified>
  <cp:version>0501.0001.01</cp:version>
</cp:coreProperties>
</file>