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0" w:line="276"/>
        <w:rPr>
          <w:lang w:eastAsia="ko-KR"/>
          <w:rFonts w:hint="eastAsia"/>
          <w:b/>
          <w:bCs/>
          <w:sz w:val="22"/>
          <w:szCs w:val="22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2025-2학기 영양 판정 및 실습 보고서</w:t>
      </w:r>
    </w:p>
    <w:p>
      <w:pPr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학과: 식품영양학과</w:t>
      </w:r>
    </w:p>
    <w:p>
      <w:pPr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학번: 20206619</w:t>
      </w:r>
    </w:p>
    <w:p>
      <w:pPr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이름: 신현경</w:t>
      </w:r>
    </w:p>
    <w:p>
      <w:pPr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제출일: 2025.11.05</w:t>
      </w: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Title</w:t>
      </w:r>
      <w:r>
        <w:rPr>
          <w:lang w:eastAsia="ko-KR"/>
          <w:sz w:val="22"/>
          <w:rtl w:val="off"/>
        </w:rPr>
        <w:t>. 악력 검사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Date</w:t>
      </w:r>
      <w:r>
        <w:rPr>
          <w:lang w:eastAsia="ko-KR"/>
          <w:sz w:val="22"/>
          <w:rtl w:val="off"/>
        </w:rPr>
        <w:t xml:space="preserve"> 2025.10.23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Introduction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 xml:space="preserve"> 악력이란 손의 근육이 발휘할 수 있는 최대 수축력을 말하며, 전반적인 신체 근육량과 근기능을 함께 반영하는 중요한 기능적 지표이다. 악력은 단순히 손의 힘을 넘어, 전신 근력 및 건강 상태와 상관관계를 가지며 특히 노년기의 근감소증과 단백질 - 에너지 영양상태, 질병 회복력 등을 반영할 수 있는 수치이다. 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 xml:space="preserve"> 단백질 - 에너지의 영양 불량시 근육 단백질이 분해되면서 근력 저하가 동반된다. 따라서 악력 측정은 신체 조성과 개인의 영양 상태가 기능적으로 잘 유지되고 있는 지 평가하는 데 필수적이다.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rFonts w:hint="eastAsia"/>
          <w:sz w:val="22"/>
          <w:rtl w:val="off"/>
        </w:rPr>
        <w:t xml:space="preserve">악력 5kg 감소 시 여성의 경우 사망률이 20% 증가하며 심혈관 질환은 15% 증가한다. 남성의 경우 사망률은 16% 증가하며, 심혈관 질환은 11%로 증가한다. 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Materials and method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 xml:space="preserve"> 디지털 악력계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>실험 방법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 xml:space="preserve"> 1. 선 자세로 팔을 내리고 신체와 닿지 않게 한다.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 xml:space="preserve"> 2. 악력계의 손잡이를 최대한 세게 3초간 쥔다.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 xml:space="preserve"> 3. 양손을 번갈아 가며 3번 반복 측정하며 값을 기록한다. 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Results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>1. 악력 측정 결과(단위: kg)</w:t>
      </w:r>
    </w:p>
    <w:tbl>
      <w:tblPr>
        <w:tblStyle w:val="afff4"/>
        <w:tblLook w:val="04A0" w:firstRow="1" w:lastRow="0" w:firstColumn="1" w:lastColumn="0" w:noHBand="0" w:noVBand="1"/>
        <w:tblLayout w:type="autofit"/>
      </w:tblPr>
      <w:tblGrid>
        <w:gridCol w:w="1805"/>
        <w:gridCol w:w="1805"/>
        <w:gridCol w:w="1805"/>
        <w:gridCol w:w="1805"/>
        <w:gridCol w:w="180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구분</w:t>
            </w:r>
          </w:p>
        </w:tc>
        <w:tc>
          <w:tcPr>
            <w:tcW w:w="180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1차</w:t>
            </w:r>
          </w:p>
        </w:tc>
        <w:tc>
          <w:tcPr>
            <w:tcW w:w="180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2차</w:t>
            </w:r>
          </w:p>
        </w:tc>
        <w:tc>
          <w:tcPr>
            <w:tcW w:w="180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3차</w:t>
            </w:r>
          </w:p>
        </w:tc>
        <w:tc>
          <w:tcPr>
            <w:tcW w:w="180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최대치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오른손</w:t>
            </w:r>
          </w:p>
        </w:tc>
        <w:tc>
          <w:tcPr>
            <w:tcW w:w="180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49.7</w:t>
            </w:r>
          </w:p>
        </w:tc>
        <w:tc>
          <w:tcPr>
            <w:tcW w:w="180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48.5</w:t>
            </w:r>
          </w:p>
        </w:tc>
        <w:tc>
          <w:tcPr>
            <w:tcW w:w="180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48.5</w:t>
            </w:r>
          </w:p>
        </w:tc>
        <w:tc>
          <w:tcPr>
            <w:tcW w:w="180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49.7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왼손</w:t>
            </w:r>
          </w:p>
        </w:tc>
        <w:tc>
          <w:tcPr>
            <w:tcW w:w="1805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51.7</w:t>
            </w:r>
          </w:p>
        </w:tc>
        <w:tc>
          <w:tcPr>
            <w:tcW w:w="1805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46</w:t>
            </w:r>
          </w:p>
        </w:tc>
        <w:tc>
          <w:tcPr>
            <w:tcW w:w="1805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50.3</w:t>
            </w:r>
          </w:p>
        </w:tc>
        <w:tc>
          <w:tcPr>
            <w:tcW w:w="1805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2"/>
                <w:rtl w:val="off"/>
              </w:rPr>
              <w:t>51.7</w:t>
            </w:r>
          </w:p>
        </w:tc>
      </w:tr>
    </w:tbl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>2. 악력 측정 결과</w:t>
      </w:r>
    </w:p>
    <w:tbl>
      <w:tblPr>
        <w:tblStyle w:val="afff4"/>
        <w:tblLook w:val="04A0" w:firstRow="1" w:lastRow="0" w:firstColumn="1" w:lastColumn="0" w:noHBand="0" w:noVBand="1"/>
        <w:tblLayout w:type="autofit"/>
      </w:tblPr>
      <w:tblGrid>
        <w:gridCol w:w="3008"/>
        <w:gridCol w:w="3008"/>
        <w:gridCol w:w="300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판정 지표</w:t>
            </w:r>
          </w:p>
        </w:tc>
        <w:tc>
          <w:tcPr>
            <w:tcW w:w="300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계산식</w:t>
            </w:r>
          </w:p>
        </w:tc>
        <w:tc>
          <w:tcPr>
            <w:tcW w:w="3008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결과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절대 악력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오른손 최대치 + 왼손 최대치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49.7 + 51.7 = 101.4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상대 악력</w:t>
            </w:r>
          </w:p>
        </w:tc>
        <w:tc>
          <w:tcPr>
            <w:tcW w:w="3008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절대 악력/체중(kg)</w:t>
            </w:r>
          </w:p>
        </w:tc>
        <w:tc>
          <w:tcPr>
            <w:tcW w:w="3008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101.4/88.0 = 1.15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근감소증 기준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아시아 기준(남)</w:t>
            </w:r>
          </w:p>
        </w:tc>
        <w:tc>
          <w:tcPr>
            <w:tcW w:w="3008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&lt; 28kg</w:t>
            </w:r>
          </w:p>
        </w:tc>
      </w:tr>
    </w:tbl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Discussion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 xml:space="preserve"> </w:t>
      </w:r>
      <w:r>
        <w:rPr>
          <w:lang w:eastAsia="ko-KR"/>
          <w:b w:val="0"/>
          <w:bCs w:val="0"/>
          <w:sz w:val="22"/>
          <w:rtl w:val="off"/>
        </w:rPr>
        <w:t xml:space="preserve">악력 측정 결과 오른손은 49.7kg, 왼손은 51.7kg으로 측정되었다. 이는 아시아 근감소증 진단 기준에서 제시하는 남성 악력 저하 기준인 28kg보다 높은 수치를 기록하였으며, 근육 기능의 우수하고 근감소증의 위험이 낮을 수 있다는 것을 보여준다. 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b w:val="0"/>
          <w:bCs w:val="0"/>
          <w:sz w:val="22"/>
          <w:rtl w:val="off"/>
        </w:rPr>
        <w:t xml:space="preserve"> 상대 악력 수치의 경우 체중에 비례하여 얼마나 강한 근력을 발휘하는 지를 보여주는 지표인데, 상대 악력 수치 1.15를 기록하였다. 이전 신체계측에서 BMI 29로 1단계 비만으로 판정 되었으나, 생체전기저항법에서 골격근량 </w:t>
      </w:r>
      <w:r>
        <w:rPr>
          <w:lang w:eastAsia="ko-KR"/>
          <w:rFonts w:hint="eastAsia"/>
          <w:b w:val="0"/>
          <w:bCs w:val="0"/>
          <w:sz w:val="22"/>
          <w:rtl w:val="off"/>
        </w:rPr>
        <w:t xml:space="preserve">35.4kg으로 나타났는데, 이번 악력 검사 결과는 생체전기저항법 검사의 데이터를 뒷받침하고 있다. 따라서, 높은 체중이 단순히 체지방만으로 구성된 것이 아니라 체중을 지탱하고도 남을 만큼 근력이 발달하였음을 보여주고 있다. 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Conciusion</w:t>
      </w: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rFonts w:hint="eastAsia"/>
          <w:b/>
          <w:bCs/>
          <w:sz w:val="22"/>
          <w:rtl w:val="off"/>
        </w:rPr>
        <w:t xml:space="preserve"> </w:t>
      </w:r>
      <w:r>
        <w:rPr>
          <w:lang w:eastAsia="ko-KR"/>
          <w:rFonts w:hint="eastAsia"/>
          <w:b w:val="0"/>
          <w:bCs w:val="0"/>
          <w:sz w:val="22"/>
          <w:rtl w:val="off"/>
        </w:rPr>
        <w:t xml:space="preserve">절대 악력 101.4kg, 상대 악력 1.15로 연령 표준 및 근감소증 기준치와 비교했을 때 우수한 수준으로 판정된다. 현재 단백질 영양 상태가 근육 합성과 기능 유지를 위해 양호하게 이루어지고 있음을 의미하며, 비록 BMI 상으로 비만에 속하지만 체성분 중 근육량의 비중이 높으며 기능이 활발하고 있음을 보여주고 있다. </w:t>
      </w: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Refernces</w:t>
      </w:r>
    </w:p>
    <w:p>
      <w:pPr>
        <w:rPr>
          <w:rFonts w:ascii="맑은 고딕" w:eastAsia="맑은 고딕" w:hAnsi="맑은 고딕" w:cs="맑은 고딕" w:hint="default"/>
          <w:sz w:val="22"/>
        </w:rPr>
      </w:pPr>
      <w:r>
        <w:rPr>
          <w:lang w:eastAsia="ko-KR"/>
          <w:rFonts w:ascii="맑은 고딕" w:eastAsia="맑은 고딕" w:hAnsi="맑은 고딕" w:cs="맑은 고딕" w:hint="default"/>
          <w:sz w:val="22"/>
          <w:rtl w:val="off"/>
        </w:rPr>
        <w:t>중앙일보, “40대 이상 중고령자, 쥐는 힘 약할수록 사망률 올라간다 왜”, 정종훈, 2019</w:t>
      </w:r>
    </w:p>
    <w:p>
      <w:r>
        <w:rPr>
          <w:lang w:eastAsia="ko-KR"/>
          <w:rFonts w:ascii="맑은 고딕" w:eastAsia="맑은 고딕" w:hAnsi="맑은 고딕" w:cs="맑은 고딕" w:hint="default"/>
          <w:sz w:val="22"/>
          <w:rtl w:val="off"/>
        </w:rPr>
        <w:t>대한급식신문, “</w:t>
      </w:r>
      <w:r>
        <w:rPr>
          <w:caps w:val="off"/>
          <w:rFonts w:ascii="맑은 고딕" w:eastAsia="맑은 고딕" w:hAnsi="맑은 고딕" w:cs="맑은 고딕"/>
          <w:b w:val="0"/>
          <w:i w:val="0"/>
          <w:sz w:val="22"/>
        </w:rPr>
        <w:t>악력 세면 사망 위험 40% 이상 감소</w:t>
      </w:r>
      <w:r>
        <w:rPr>
          <w:caps w:val="off"/>
          <w:lang w:eastAsia="ko-KR"/>
          <w:rFonts w:ascii="맑은 고딕" w:eastAsia="맑은 고딕" w:hAnsi="맑은 고딕" w:cs="맑은 고딕"/>
          <w:b w:val="0"/>
          <w:i w:val="0"/>
          <w:sz w:val="22"/>
          <w:rtl w:val="off"/>
        </w:rPr>
        <w:t>”, 김나운, 2019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0">
    <w:name w:val="Plain Table 1"/>
    <w:uiPriority w:val="41"/>
    <w:basedOn w:val="a4"/>
    <w:pPr>
      <w:spacing w:after="0" w:line="240" w:lineRule="auto"/>
    </w:pPr>
    <w:tblPr>
      <w:tblBorders>
        <w:top w:val="single" w:sz="4" w:space="0" w:color="BFBFBF" w:themeColor="lt1" w:themeShade="bf"/>
        <w:left w:val="single" w:sz="4" w:space="0" w:color="BFBFBF" w:themeColor="lt1" w:themeShade="bf"/>
        <w:bottom w:val="single" w:sz="4" w:space="0" w:color="BFBFBF" w:themeColor="lt1" w:themeShade="bf"/>
        <w:right w:val="single" w:sz="4" w:space="0" w:color="BFBFBF" w:themeColor="lt1" w:themeShade="bf"/>
        <w:insideH w:val="single" w:sz="4" w:space="0" w:color="BFBFBF" w:themeColor="lt1" w:themeShade="bf"/>
        <w:insideV w:val="single" w:sz="4" w:space="0" w:color="BFBFBF" w:themeColor="lt1" w:themeShade="bf"/>
      </w:tblBorders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lt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lt1" w:themeFillShade="f2"/>
      </w:tcPr>
    </w:tblStylePr>
    <w:tblStylePr w:type="band1Horz">
      <w:tblPr/>
      <w:tcPr>
        <w:shd w:val="clear" w:color="auto" w:fill="F2F2F2" w:themeFill="lt1" w:themeFillShade="f2"/>
      </w:tcPr>
    </w:tblStylePr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4">
    <w:name w:val="Light Shading"/>
    <w:uiPriority w:val="60"/>
    <w:basedOn w:val="a4"/>
    <w:unhideWhenUsed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현경</dc:creator>
  <cp:keywords/>
  <dc:description/>
  <cp:lastModifiedBy>현경</cp:lastModifiedBy>
  <cp:revision>1</cp:revision>
  <dcterms:created xsi:type="dcterms:W3CDTF">2025-11-05T18:23:22Z</dcterms:created>
  <dcterms:modified xsi:type="dcterms:W3CDTF">2025-11-05T09:57:27Z</dcterms:modified>
  <cp:version>1100.0100.01</cp:version>
</cp:coreProperties>
</file>