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charts/chart1.xml" ContentType="application/vnd.openxmlformats-officedocument.drawingml.chart+xml"/>
  <Override PartName="/word/charts/chart2.xml" ContentType="application/vnd.openxmlformats-officedocument.drawingml.chart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0" w:line="276"/>
        <w:rPr>
          <w:lang w:eastAsia="ko-KR"/>
          <w:rFonts w:hint="eastAsia"/>
          <w:b/>
          <w:bCs/>
          <w:sz w:val="22"/>
          <w:szCs w:val="22"/>
          <w:rtl w:val="off"/>
        </w:rPr>
      </w:pPr>
      <w:r>
        <w:rPr>
          <w:lang w:eastAsia="ko-KR"/>
          <w:b/>
          <w:bCs/>
          <w:sz w:val="22"/>
          <w:szCs w:val="22"/>
          <w:rtl w:val="off"/>
        </w:rPr>
        <w:t>2025-2학기 영양 판정 및 실습 보고서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학과: 식품영양학과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학번: 20206619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이름: 신현경</w:t>
      </w:r>
    </w:p>
    <w:p>
      <w:pPr>
        <w:jc w:val="right"/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>제출일: 2025.11.27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Title</w:t>
      </w:r>
      <w:r>
        <w:rPr>
          <w:lang w:eastAsia="ko-KR"/>
          <w:sz w:val="22"/>
          <w:rtl w:val="off"/>
        </w:rPr>
        <w:t>. 혈장 GOT, GPT 측정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Date</w:t>
      </w:r>
      <w:r>
        <w:rPr>
          <w:lang w:eastAsia="ko-KR"/>
          <w:sz w:val="22"/>
          <w:rtl w:val="off"/>
        </w:rPr>
        <w:t xml:space="preserve"> 2025. 11. 18(GPT 측정)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  <w:r>
        <w:rPr>
          <w:lang w:eastAsia="ko-KR"/>
          <w:sz w:val="22"/>
          <w:rtl w:val="off"/>
        </w:rPr>
        <w:t xml:space="preserve">     2025. 11. 25(GOT 측정)</w:t>
      </w:r>
    </w:p>
    <w:p>
      <w:pPr>
        <w:spacing w:after="0" w:line="276"/>
        <w:rPr>
          <w:lang w:eastAsia="ko-KR"/>
          <w:rFonts w:hint="eastAsia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Introduction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간은 탄수화물, 단백질, 지방의 대사를 포함하여 해독 작용, 담즙 생성 등 인체의 화학 공장 역할을 하는 핵심 기관이다. 간 세포의 손상 여부를 판단하는 가장 대표적인 생화학적 지표가 바로 아미노전이효소인 GOT와 GPT이다.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- GOT: 간세포뿐만 아니라 심장, 근육, 신장, 뇌 등 다양한 조직에 분포하며, 조직 손상 시 혈중으로 유출된다.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- GPT: 주로 간세포의 세포질 내에 존재하여, 간 손상에 대해 GOT보다 더 높은 특이성을 가진다.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Materials and method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실험 재료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혈장, 기질액, 정색 시약, 0.4N NaOH 용액, Water bath, 마이크로피펫, 튜브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GOT 측정</w:t>
      </w:r>
    </w:p>
    <w:p>
      <w:pPr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1. 튜브에 기질액 </w:t>
      </w:r>
      <w:r>
        <w:rPr>
          <w:sz w:val="22"/>
        </w:rPr>
        <w:t>50μl</w:t>
      </w:r>
      <w:r>
        <w:rPr>
          <w:lang w:eastAsia="ko-KR"/>
          <w:sz w:val="22"/>
          <w:rtl w:val="off"/>
        </w:rPr>
        <w:t>를 넣고 5분간 water bath에서 37</w:t>
      </w:r>
      <w:r>
        <w:rPr>
          <w:sz w:val="22"/>
          <w:szCs w:val="22"/>
        </w:rPr>
        <w:t>℃</w:t>
      </w:r>
      <w:r>
        <w:rPr>
          <w:lang w:eastAsia="ko-KR"/>
          <w:sz w:val="22"/>
          <w:szCs w:val="22"/>
          <w:rtl w:val="off"/>
        </w:rPr>
        <w:t xml:space="preserve">, </w:t>
      </w:r>
      <w:r>
        <w:rPr>
          <w:lang w:eastAsia="ko-KR"/>
          <w:sz w:val="22"/>
          <w:rtl w:val="off"/>
        </w:rPr>
        <w:t>5분간 방치한다.</w:t>
      </w:r>
    </w:p>
    <w:p>
      <w:pPr>
        <w:spacing w:after="0" w:line="276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2. 혈장 10</w:t>
      </w:r>
      <w:r>
        <w:rPr>
          <w:sz w:val="22"/>
        </w:rPr>
        <w:t>μl</w:t>
      </w:r>
      <w:r>
        <w:rPr>
          <w:lang w:eastAsia="ko-KR"/>
          <w:sz w:val="22"/>
          <w:rtl w:val="off"/>
        </w:rPr>
        <w:t xml:space="preserve"> 혼합한 후 60분간 water bath에서 37</w:t>
      </w:r>
      <w:r>
        <w:rPr>
          <w:sz w:val="22"/>
          <w:szCs w:val="22"/>
        </w:rPr>
        <w:t>℃</w:t>
      </w:r>
      <w:r>
        <w:rPr>
          <w:lang w:eastAsia="ko-KR"/>
          <w:sz w:val="22"/>
          <w:szCs w:val="22"/>
          <w:rtl w:val="off"/>
        </w:rPr>
        <w:t>에서 반응시킨다.</w:t>
      </w:r>
    </w:p>
    <w:p>
      <w:pPr>
        <w:spacing w:after="0" w:line="276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sz w:val="22"/>
          <w:szCs w:val="22"/>
          <w:rtl w:val="off"/>
        </w:rPr>
        <w:t>3. 정색시약 50</w:t>
      </w:r>
      <w:r>
        <w:rPr>
          <w:sz w:val="22"/>
          <w:szCs w:val="22"/>
        </w:rPr>
        <w:t>μl</w:t>
      </w:r>
      <w:r>
        <w:rPr>
          <w:lang w:eastAsia="ko-KR"/>
          <w:sz w:val="22"/>
          <w:szCs w:val="22"/>
          <w:rtl w:val="off"/>
        </w:rPr>
        <w:t>를 넣고 혼합하여 실온에서 20분 방치한다.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sz w:val="22"/>
          <w:rtl w:val="off"/>
        </w:rPr>
        <w:t xml:space="preserve">4. </w:t>
      </w:r>
      <w:r>
        <w:rPr>
          <w:lang w:eastAsia="ko-KR"/>
          <w:rFonts w:hint="eastAsia"/>
          <w:b w:val="0"/>
          <w:bCs w:val="0"/>
          <w:sz w:val="22"/>
          <w:rtl w:val="off"/>
        </w:rPr>
        <w:t>0.4N NaOH 용액을 첨가하여 반응을 정지시킨다.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5. 505nm에서 흡광도를 측정한다.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6. 표준 시약으로 만든 stanard 곡선과 비교한다.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GPT 측정</w:t>
      </w:r>
    </w:p>
    <w:p>
      <w:pPr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1. 튜브에 기질액 </w:t>
      </w:r>
      <w:r>
        <w:rPr>
          <w:sz w:val="22"/>
        </w:rPr>
        <w:t>50μl</w:t>
      </w:r>
      <w:r>
        <w:rPr>
          <w:lang w:eastAsia="ko-KR"/>
          <w:sz w:val="22"/>
          <w:rtl w:val="off"/>
        </w:rPr>
        <w:t>를 넣고 5분간 water bath에서 37</w:t>
      </w:r>
      <w:r>
        <w:rPr>
          <w:sz w:val="22"/>
          <w:szCs w:val="22"/>
        </w:rPr>
        <w:t>℃</w:t>
      </w:r>
      <w:r>
        <w:rPr>
          <w:lang w:eastAsia="ko-KR"/>
          <w:sz w:val="22"/>
          <w:szCs w:val="22"/>
          <w:rtl w:val="off"/>
        </w:rPr>
        <w:t xml:space="preserve">, </w:t>
      </w:r>
      <w:r>
        <w:rPr>
          <w:lang w:eastAsia="ko-KR"/>
          <w:sz w:val="22"/>
          <w:rtl w:val="off"/>
        </w:rPr>
        <w:t>5분간 방치한다.</w:t>
      </w:r>
    </w:p>
    <w:p>
      <w:pPr>
        <w:spacing w:after="0" w:line="276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2. 혈장 10</w:t>
      </w:r>
      <w:r>
        <w:rPr>
          <w:sz w:val="22"/>
        </w:rPr>
        <w:t>μl</w:t>
      </w:r>
      <w:r>
        <w:rPr>
          <w:lang w:eastAsia="ko-KR"/>
          <w:sz w:val="22"/>
          <w:rtl w:val="off"/>
        </w:rPr>
        <w:t xml:space="preserve"> 혼합한 후 30분간 water bath에서 37</w:t>
      </w:r>
      <w:r>
        <w:rPr>
          <w:sz w:val="22"/>
          <w:szCs w:val="22"/>
        </w:rPr>
        <w:t>℃</w:t>
      </w:r>
      <w:r>
        <w:rPr>
          <w:lang w:eastAsia="ko-KR"/>
          <w:sz w:val="22"/>
          <w:szCs w:val="22"/>
          <w:rtl w:val="off"/>
        </w:rPr>
        <w:t>에서 반응시킨다.</w:t>
      </w:r>
    </w:p>
    <w:p>
      <w:pPr>
        <w:spacing w:after="0" w:line="276"/>
        <w:rPr>
          <w:lang w:eastAsia="ko-KR"/>
          <w:rFonts w:hint="eastAsia"/>
          <w:sz w:val="22"/>
          <w:szCs w:val="22"/>
          <w:rtl w:val="off"/>
        </w:rPr>
      </w:pPr>
      <w:r>
        <w:rPr>
          <w:lang w:eastAsia="ko-KR"/>
          <w:sz w:val="22"/>
          <w:szCs w:val="22"/>
          <w:rtl w:val="off"/>
        </w:rPr>
        <w:t>3. 정색시약 50</w:t>
      </w:r>
      <w:r>
        <w:rPr>
          <w:sz w:val="22"/>
          <w:szCs w:val="22"/>
        </w:rPr>
        <w:t>μl</w:t>
      </w:r>
      <w:r>
        <w:rPr>
          <w:lang w:eastAsia="ko-KR"/>
          <w:sz w:val="22"/>
          <w:szCs w:val="22"/>
          <w:rtl w:val="off"/>
        </w:rPr>
        <w:t>를 넣고 혼합하여 실온에서 20분 방치한다.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sz w:val="22"/>
          <w:rtl w:val="off"/>
        </w:rPr>
        <w:t xml:space="preserve">4. </w:t>
      </w:r>
      <w:r>
        <w:rPr>
          <w:lang w:eastAsia="ko-KR"/>
          <w:rFonts w:hint="eastAsia"/>
          <w:b w:val="0"/>
          <w:bCs w:val="0"/>
          <w:sz w:val="22"/>
          <w:rtl w:val="off"/>
        </w:rPr>
        <w:t>0.4N NaOH 용액을 첨가하여 반응을 정지시킨다.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5. 505nm에서 흡광도를 측정한다.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6. 표준 시약으로 만든 stanard 곡선과 비교한다.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Results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GPT 측정값</w:t>
      </w:r>
    </w:p>
    <w:tbl>
      <w:tblPr>
        <w:tblStyle w:val="a0"/>
        <w:tblLook w:val="04A0" w:firstRow="1" w:lastRow="0" w:firstColumn="1" w:lastColumn="0" w:noHBand="0" w:noVBand="1"/>
        <w:tblLayout w:type="autofit"/>
      </w:tblPr>
      <w:tblGrid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52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Standard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STD karmen/mL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1회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2회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Mean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Mean - Blank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STD karmen/mL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S1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0.094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0.0945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S2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27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0.134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0.135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0.1345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0.04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27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S3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58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0.161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0.164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0.1625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0.068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58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S4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98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0.178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0.187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0.1825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0.088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98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150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0.204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0.207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0.2055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0.111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150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Sample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1.1518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0.098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0.097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0.097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0.0025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1.1518</w:t>
            </w:r>
          </w:p>
        </w:tc>
      </w:tr>
    </w:tbl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drawing>
          <wp:anchor distT="0" distB="0" distL="114300" distR="114300" behindDoc="0" locked="0" layoutInCell="1" simplePos="0" relativeHeight="251660288" allowOverlap="1" hidden="0">
            <wp:simplePos x="0" y="0"/>
            <wp:positionH relativeFrom="column">
              <wp:posOffset>33244</wp:posOffset>
            </wp:positionH>
            <wp:positionV relativeFrom="paragraph">
              <wp:posOffset>42091</wp:posOffset>
            </wp:positionV>
            <wp:extent cx="4389513" cy="2719026"/>
            <wp:effectExtent l="0" t="0" r="0" b="0"/>
            <wp:wrapNone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"/>
              </a:graphicData>
            </a:graphic>
          </wp:anchor>
        </w:drawing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>GOT 측정값</w:t>
      </w:r>
    </w:p>
    <w:tbl>
      <w:tblPr>
        <w:tblStyle w:val="a0"/>
        <w:tblLook w:val="04A0" w:firstRow="1" w:lastRow="0" w:firstColumn="1" w:lastColumn="0" w:noHBand="0" w:noVBand="1"/>
        <w:tblLayout w:type="autofit"/>
      </w:tblPr>
      <w:tblGrid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Standard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STD karmen/mL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1회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2회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Mean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Mean - Blank</w:t>
            </w:r>
          </w:p>
        </w:tc>
        <w:tc>
          <w:tcPr>
            <w:tcW w:w="1307" w:type="dxa"/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STD karmen/mL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S1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0.055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0.065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0.06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S2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0.096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0.055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0.0755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0.0155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25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S3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60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0.072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0.072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0.072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0.012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60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S4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116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0.089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0.091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0.03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116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197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0.098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0.097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0.0975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0.0375</w:t>
            </w:r>
          </w:p>
        </w:tc>
        <w:tc>
          <w:tcPr>
            <w:tcW w:w="1307" w:type="dxa"/>
          </w:tcPr>
          <w:p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197</w:t>
            </w:r>
          </w:p>
        </w:tc>
      </w:tr>
      <w:tr>
        <w:trPr>
          <w:trHeight w:val="458" w:hRule="atLeas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Sample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189.4371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0.094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0.101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0.0975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0.0375</w:t>
            </w:r>
          </w:p>
        </w:tc>
        <w:tc>
          <w:tcPr>
            <w:tcW w:w="1307" w:type="dxa"/>
          </w:tcPr>
          <w:p>
            <w:pPr>
              <w:spacing w:after="0" w:line="276"/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</w:pPr>
            <w:r>
              <w:rPr>
                <w:lang w:eastAsia="ko-KR"/>
                <w:rFonts w:hint="eastAsia"/>
                <w:b w:val="0"/>
                <w:bCs w:val="0"/>
                <w:sz w:val="20"/>
                <w:szCs w:val="20"/>
                <w:rtl w:val="off"/>
              </w:rPr>
              <w:t>189.4371</w:t>
            </w:r>
          </w:p>
        </w:tc>
      </w:tr>
    </w:tbl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drawing>
          <wp:anchor distT="0" distB="0" distL="114300" distR="114300" behindDoc="0" locked="0" layoutInCell="1" simplePos="0" relativeHeight="251661312" allowOverlap="1" hidden="0">
            <wp:simplePos x="0" y="0"/>
            <wp:positionH relativeFrom="column">
              <wp:posOffset>-2615</wp:posOffset>
            </wp:positionH>
            <wp:positionV relativeFrom="paragraph">
              <wp:posOffset>212536</wp:posOffset>
            </wp:positionV>
            <wp:extent cx="4572000" cy="2743200"/>
            <wp:effectExtent l="0" t="0" r="0" b="0"/>
            <wp:wrapNone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anchor>
        </w:drawing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Discussion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  <w:r>
        <w:rPr>
          <w:lang w:eastAsia="ko-KR"/>
          <w:rFonts w:hint="eastAsia"/>
          <w:b w:val="0"/>
          <w:bCs w:val="0"/>
          <w:sz w:val="22"/>
          <w:rtl w:val="off"/>
        </w:rPr>
        <w:t xml:space="preserve"> 이번 실험을 통해 아미노전이효소인 GOT와 GPT가 기질과 반응하여 생성한 반응물을 정량하는 원리이다. stanard curve에 sample의 mean - blank 값을 대입하여 유추하는 실험이었다. 유추한 결과 값은 GPT에서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1.1518, </w:t>
      </w:r>
      <w:r>
        <w:rPr>
          <w:lang w:eastAsia="ko-KR"/>
          <w:rFonts w:hint="eastAsia"/>
          <w:b w:val="0"/>
          <w:bCs w:val="0"/>
          <w:sz w:val="22"/>
          <w:rtl w:val="off"/>
        </w:rPr>
        <w:t xml:space="preserve">GOT에서 sample은 </w:t>
      </w:r>
      <w:r>
        <w:rPr>
          <w:lang w:eastAsia="ko-KR"/>
          <w:rFonts w:hint="eastAsia"/>
          <w:b w:val="0"/>
          <w:bCs w:val="0"/>
          <w:sz w:val="22"/>
          <w:szCs w:val="22"/>
          <w:rtl w:val="off"/>
        </w:rPr>
        <w:t xml:space="preserve">189.4371이 나왔다. 아무래도 분주하는 과정에서 숙련도의 부족으로 거품이 많이 발생해 결과에 영향을 주었을 것이라고 생각한다. </w:t>
      </w:r>
    </w:p>
    <w:p>
      <w:pPr>
        <w:spacing w:after="0" w:line="276"/>
        <w:rPr>
          <w:lang w:eastAsia="ko-KR"/>
          <w:rFonts w:hint="eastAsia"/>
          <w:b w:val="0"/>
          <w:bCs w:val="0"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Conciusion</w:t>
      </w:r>
    </w:p>
    <w:p>
      <w:pPr>
        <w:rPr>
          <w:sz w:val="22"/>
        </w:rPr>
      </w:pPr>
      <w:r>
        <w:rPr>
          <w:lang w:eastAsia="ko-KR"/>
          <w:rFonts w:hint="eastAsia"/>
          <w:b/>
          <w:bCs/>
          <w:sz w:val="22"/>
          <w:rtl w:val="off"/>
        </w:rPr>
        <w:t xml:space="preserve"> </w:t>
      </w:r>
      <w:r>
        <w:rPr>
          <w:sz w:val="22"/>
        </w:rPr>
        <w:t>이번 실습을 통해 혈장 내 GOT 및 GPT 활성도를 측정함으로써 간 기능을 평가하는 생화학적 검사법을 익혔다. Reitman-Frankel법을 통해 얻어진 수치를 정상 참고치와 비교 분석한 결과, 대상자의 간 기능 상태를 간접적으로 파악할 수 있었다. GOT와 GPT는 간 건강의 지표일 뿐만 아니라 전반적인 대사 상태를 반영하므로, 정기적인 검사를 통해 질병을 조기에 발견하고 예방하는 것이 중요하다.</w:t>
      </w: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</w:p>
    <w:p>
      <w:pPr>
        <w:spacing w:after="0" w:line="276"/>
        <w:rPr>
          <w:lang w:eastAsia="ko-KR"/>
          <w:rFonts w:hint="eastAsia"/>
          <w:b/>
          <w:bCs/>
          <w:sz w:val="22"/>
          <w:rtl w:val="off"/>
        </w:rPr>
      </w:pPr>
      <w:r>
        <w:rPr>
          <w:lang w:eastAsia="ko-KR"/>
          <w:b/>
          <w:bCs/>
          <w:sz w:val="22"/>
          <w:rtl w:val="off"/>
        </w:rPr>
        <w:t>Refernce</w:t>
      </w:r>
    </w:p>
    <w:p>
      <w:pPr>
        <w:rPr>
          <w:sz w:val="22"/>
          <w:szCs w:val="22"/>
        </w:rPr>
      </w:pPr>
      <w:r>
        <w:rPr>
          <w:lang w:eastAsia="ko-KR"/>
          <w:sz w:val="22"/>
          <w:szCs w:val="22"/>
          <w:rtl w:val="off"/>
        </w:rPr>
        <w:t>이혜지, 2025, 영양판정, 생화학조자_GOT,GPT. 한림대학교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0">
    <w:name w:val="Light Shading"/>
    <w:uiPriority w:val="60"/>
    <w:basedOn w:val="a4"/>
    <w:unhideWhenUsed/>
    <w:pPr>
      <w:spacing w:after="0" w:line="240" w:lineRule="auto"/>
    </w:pPr>
    <w:rPr>
      <w:color w:val="000000"/>
    </w:rPr>
    <w:tblPr>
      <w:tblBorders>
        <w:top w:val="single" w:sz="8" w:space="0" w:color="000000" w:themeColor="dk1"/>
        <w:bottom w:val="single" w:sz="8" w:space="0" w:color="000000" w:themeColor="dk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hart" Target="charts/chart1.xml" /><Relationship Id="rId2" Type="http://schemas.openxmlformats.org/officeDocument/2006/relationships/chart" Target="charts/chart2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____1.xlsx" 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____2.xlsx" /></Relationships>
</file>

<file path=word/charts/chart1.xml><?xml version="1.0" encoding="utf-8"?>
<c:chartSpace xmlns:r="http://schemas.openxmlformats.org/officeDocument/2006/relationships" xmlns:a="http://schemas.openxmlformats.org/drawingml/2006/main" xmlns:c="http://schemas.openxmlformats.org/drawingml/2006/chart">
  <c:date1904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roundedCorners val="0"/>
  <c:chart>
    <c:title>
      <c:tx>
        <c:rich>
          <a:bodyPr rot="0" vert="horz" wrap="none" lIns="0" tIns="0" rIns="0" bIns="0" anchor="ctr" anchorCtr="1"/>
          <a:p>
            <a:pPr algn="l">
              <a:defRPr sz="14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r>
              <a:rPr sz="14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rPr>
              <a:t>GPT Standard Curve</a:t>
            </a:r>
            <a:endParaRPr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 cmpd="sng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 cap="rnd" cmpd="sng">
                <a:solidFill>
                  <a:schemeClr val="accent1"/>
                </a:solidFill>
              </a:ln>
              <a:effectLst/>
            </c:spPr>
          </c:marker>
          <c:dPt>
            <c:idx val="2"/>
            <c:invertIfNegative val="0"/>
            <c:marker>
              <c:symbol val="circle"/>
              <c:size val="5"/>
              <c:spPr>
                <a:solidFill>
                  <a:schemeClr val="accent1"/>
                </a:solidFill>
                <a:ln w="9525" cap="rnd" cmpd="sng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dPt>
            <c:idx val="3"/>
            <c:invertIfNegative val="0"/>
            <c:marker>
              <c:symbol val="circle"/>
              <c:size val="5"/>
              <c:spPr>
                <a:solidFill>
                  <a:schemeClr val="accent1"/>
                </a:solidFill>
                <a:ln w="9525" cap="rnd" cmpd="sng">
                  <a:solidFill>
                    <a:schemeClr val="accent1"/>
                  </a:solidFill>
                </a:ln>
                <a:effectLst/>
              </c:spPr>
            </c:marker>
            <c:bubble3D val="0"/>
          </c:dPt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og"/>
            <c:forward val="0"/>
            <c:backward val="0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forward val="0"/>
            <c:backward val="0"/>
            <c:dispRSqr val="1"/>
            <c:dispEq val="1"/>
            <c:trendlineLbl>
              <c:layout>
                <c:manualLayout>
                  <c:xMode val="edge"/>
                  <c:yMode val="edge"/>
                  <c:x val="-0.25171500444412231"/>
                  <c:y val="0.0036574073601514101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</c:trendlineLbl>
          </c:trendline>
          <c:xVal>
            <c:numRef>
              <c:f>Sheet1!$A$2:$A$5</c:f>
              <c:numCache>
                <c:formatCode>General</c:formatCode>
                <c:ptCount val="5"/>
                <c:pt idx="0">
                  <c:v>0</c:v>
                </c:pt>
                <c:pt idx="1">
                  <c:v>4.0000000000000008E-2</c:v>
                </c:pt>
                <c:pt idx="2">
                  <c:v>6.8000000000000005E-2</c:v>
                </c:pt>
                <c:pt idx="3">
                  <c:v>8.7999999999999995E-2</c:v>
                </c:pt>
                <c:pt idx="4">
                  <c:v>0.11099999999999999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27</c:v>
                </c:pt>
                <c:pt idx="2">
                  <c:v>58</c:v>
                </c:pt>
                <c:pt idx="3">
                  <c:v>98</c:v>
                </c:pt>
                <c:pt idx="4">
                  <c:v>150</c:v>
                </c:pt>
              </c:numCache>
            </c:numRef>
          </c:yVal>
          <c:smooth val="0"/>
        </c:ser>
        <c:dLbls>
          <c:delete val="0"/>
          <c:dLblPos val="r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axId val="2003565952"/>
        <c:axId val="2003549632"/>
      </c:scatterChart>
      <c:valAx>
        <c:axId val="2003565952"/>
        <c:scaling>
          <c:orientation val="minMax"/>
        </c:scaling>
        <c:axPos val="b"/>
        <c:crossAx val="2003549632"/>
        <c:delete val="0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vert="horz" wrap="none" lIns="0" tIns="0" rIns="0" bIns="0" anchor="ctr" anchorCtr="1"/>
          <a:p>
            <a:pPr algn="l">
              <a:defRPr sz="9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endParaRPr/>
          </a:p>
        </c:txPr>
        <c:crosses val="autoZero"/>
        <c:crossBetween val="midCat"/>
      </c:valAx>
      <c:valAx>
        <c:axId val="2003549632"/>
        <c:scaling>
          <c:orientation val="minMax"/>
        </c:scaling>
        <c:axPos val="l"/>
        <c:crossAx val="2003565952"/>
        <c:delete val="0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vert="horz" wrap="none" lIns="0" tIns="0" rIns="0" bIns="0" anchor="ctr" anchorCtr="1"/>
          <a:p>
            <a:pPr algn="l">
              <a:defRPr sz="9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endParaRPr/>
          </a:p>
        </c:txPr>
        <c:crosses val="autoZero"/>
        <c:crossBetween val="midCat"/>
      </c:valAx>
      <c:spPr>
        <a:noFill/>
        <a:ln w="9525" cap="flat" cmpd="sng" algn="ctr">
          <a:noFill/>
          <a:prstDash val="solid"/>
          <a:round/>
          <a:headEnd w="med" len="med"/>
          <a:tailEnd w="med" len="med"/>
        </a:ln>
      </c:spPr>
    </c:plotArea>
    <c:plotVisOnly val="0"/>
    <c:dispBlanksAs val="gap"/>
  </c:chart>
  <c:txPr>
    <a:bodyPr rot="0" vert="horz" wrap="none" lIns="0" tIns="0" rIns="0" bIns="0" anchor="ctr" anchorCtr="1"/>
    <a:p>
      <a:pPr algn="l">
        <a:defRPr b="0" i="0" u="none"/>
      </a:pPr>
      <a:endParaRPr/>
    </a:p>
  </c:txPr>
  <c:extLst>
    <c:ext uri="CC8EB2C9-7E31-499d-B8F2-F6CE61031016">
      <ho:hncChartStyle xmlns:ho="http://schemas.haansoft.com/office/8.0" layoutIndex="-1" colorIndex="-1" styleIndex="-1"/>
    </c:ext>
  </c:extLst>
  <c:externalData r:id="rId1">
    <c:autoUpdate val="0"/>
  </c:externalData>
</c:chartSpace>
</file>

<file path=word/charts/chart2.xml><?xml version="1.0" encoding="utf-8"?>
<c:chartSpace xmlns:r="http://schemas.openxmlformats.org/officeDocument/2006/relationships" xmlns:a="http://schemas.openxmlformats.org/drawingml/2006/main" xmlns:c="http://schemas.openxmlformats.org/drawingml/2006/chart">
  <c:date1904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roundedCorners val="0"/>
  <c:chart>
    <c:title>
      <c:tx>
        <c:rich>
          <a:bodyPr rot="0" vert="horz" wrap="none" lIns="0" tIns="0" rIns="0" bIns="0" anchor="ctr" anchorCtr="1"/>
          <a:p>
            <a:pPr algn="l">
              <a:defRPr sz="14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r>
              <a:rPr sz="14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rPr>
              <a:t>GOT Standard Curve</a:t>
            </a:r>
            <a:endParaRPr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38100" cap="rnd" cmpd="sng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 cap="rnd" cmpd="sng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forward val="0"/>
            <c:backward val="0"/>
            <c:dispRSqr val="1"/>
            <c:dispEq val="1"/>
            <c:trendlineLbl>
              <c:layout>
                <c:manualLayout>
                  <c:xMode val="edge"/>
                  <c:yMode val="edge"/>
                  <c:x val="-0.27617672085762024"/>
                  <c:y val="-0.021948089823126793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</c:trendlineLbl>
          </c:trendline>
          <c:xVal>
            <c:numRef>
              <c:f>Sheet1!$A$2:$A$5</c:f>
              <c:numCache>
                <c:formatCode>General</c:formatCode>
                <c:ptCount val="5"/>
                <c:pt idx="0">
                  <c:v>0</c:v>
                </c:pt>
                <c:pt idx="1">
                  <c:v>1.55E-2</c:v>
                </c:pt>
                <c:pt idx="2">
                  <c:v>1.1999999999999997E-2</c:v>
                </c:pt>
                <c:pt idx="3">
                  <c:v>0.03</c:v>
                </c:pt>
                <c:pt idx="4">
                  <c:v>3.7500000000000006E-2</c:v>
                </c:pt>
              </c:numCache>
            </c:numRef>
          </c:xVal>
          <c:yVal>
            <c:numRef>
              <c:f>Sheet1!$B$1:$B$5</c:f>
              <c:numCache>
                <c:formatCode>General</c:formatCode>
                <c:ptCount val="5"/>
                <c:pt idx="0">
                  <c:v>0</c:v>
                </c:pt>
                <c:pt idx="1">
                  <c:v>25</c:v>
                </c:pt>
                <c:pt idx="2">
                  <c:v>60</c:v>
                </c:pt>
                <c:pt idx="3">
                  <c:v>116</c:v>
                </c:pt>
                <c:pt idx="4">
                  <c:v>197</c:v>
                </c:pt>
              </c:numCache>
            </c:numRef>
          </c:yVal>
          <c:smooth val="0"/>
        </c:ser>
        <c:dLbls>
          <c:delete val="0"/>
          <c:dLblPos val="r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axId val="1961151503"/>
        <c:axId val="1961148623"/>
      </c:scatterChart>
      <c:valAx>
        <c:axId val="1961151503"/>
        <c:scaling>
          <c:orientation val="minMax"/>
        </c:scaling>
        <c:axPos val="b"/>
        <c:crossAx val="1961148623"/>
        <c:delete val="0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vert="horz" wrap="none" lIns="0" tIns="0" rIns="0" bIns="0" anchor="ctr" anchorCtr="1"/>
          <a:p>
            <a:pPr algn="l">
              <a:defRPr sz="9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endParaRPr/>
          </a:p>
        </c:txPr>
        <c:crosses val="autoZero"/>
        <c:crossBetween val="midCat"/>
      </c:valAx>
      <c:valAx>
        <c:axId val="1961148623"/>
        <c:scaling>
          <c:orientation val="minMax"/>
        </c:scaling>
        <c:axPos val="l"/>
        <c:crossAx val="1961151503"/>
        <c:delete val="0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0" vert="horz" wrap="none" lIns="0" tIns="0" rIns="0" bIns="0" anchor="ctr" anchorCtr="1"/>
          <a:p>
            <a:pPr algn="l">
              <a:defRPr sz="900" b="0" i="0" u="non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ea"/>
                <a:sym typeface="+mn-ea"/>
              </a:defRPr>
            </a:pPr>
            <a:endParaRPr/>
          </a:p>
        </c:txPr>
        <c:crosses val="autoZero"/>
        <c:crossBetween val="midCat"/>
      </c:valAx>
      <c:spPr>
        <a:noFill/>
        <a:ln w="9525" cap="flat" cmpd="sng" algn="ctr">
          <a:noFill/>
          <a:prstDash val="solid"/>
          <a:round/>
          <a:headEnd w="med" len="med"/>
          <a:tailEnd w="med" len="med"/>
        </a:ln>
      </c:spPr>
    </c:plotArea>
    <c:plotVisOnly val="0"/>
    <c:dispBlanksAs val="gap"/>
  </c:chart>
  <c:txPr>
    <a:bodyPr rot="0" vert="horz" wrap="none" lIns="0" tIns="0" rIns="0" bIns="0" anchor="ctr" anchorCtr="1"/>
    <a:p>
      <a:pPr algn="l">
        <a:defRPr b="0" i="0" u="none"/>
      </a:pPr>
      <a:endParaRPr/>
    </a:p>
  </c:txPr>
  <c:extLst>
    <c:ext uri="CC8EB2C9-7E31-499d-B8F2-F6CE61031016">
      <ho:hncChartStyle xmlns:ho="http://schemas.haansoft.com/office/8.0" layoutIndex="-1" colorIndex="-1" styleIndex="-1"/>
    </c:ext>
  </c:extLst>
  <c:externalData r:id="rId1">
    <c:autoUpdate val="0"/>
  </c:externalData>
</c:chartSpace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현경</dc:creator>
  <cp:keywords/>
  <dc:description/>
  <cp:lastModifiedBy>현경</cp:lastModifiedBy>
  <cp:revision>1</cp:revision>
  <dcterms:created xsi:type="dcterms:W3CDTF">2025-11-26T20:33:34Z</dcterms:created>
  <dcterms:modified xsi:type="dcterms:W3CDTF">2025-11-26T13:09:43Z</dcterms:modified>
  <cp:version>1100.0100.01</cp:version>
</cp:coreProperties>
</file>