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t>The three tiers carry different epistemic commitments, and the database stores and reports them separately:</w:t>
      </w:r>
    </w:p>
    <w:p>
      <w:pPr>
        <w:pStyle w:val="ListBullet"/>
      </w:pPr>
      <w:r>
        <w:rPr>
          <w:b/>
        </w:rPr>
        <w:t>explicit</w:t>
      </w:r>
      <w:r>
        <w:t>: the source text contains a passage that directly supports the code; $e_{ij}$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