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CAIEMS：面向施工事故叙述结构化处理的探索性 LLM 数据工程管道</w:t>
      </w:r>
    </w:p>
    <w:p>
      <w:pPr>
        <w:pStyle w:val="Heading1"/>
      </w:pPr>
      <w:r>
        <w:rPr>
          <w:rFonts w:ascii="宋体" w:hAnsi="宋体" w:eastAsia="宋体"/>
          <w:color w:val="000000"/>
          <w:sz w:val="28"/>
        </w:rPr>
        <w:t>摘要</w:t>
      </w:r>
    </w:p>
    <w:p>
      <w:r>
        <w:rPr>
          <w:rFonts w:ascii="宋体" w:hAnsi="宋体" w:eastAsia="宋体"/>
        </w:rPr>
        <w:t>建筑施工事故报告是安全知识中规模大而利用不足的资源，将其转化为可分析记录至今仍依赖大量人工。本文提出</w:t>
      </w:r>
      <w:r>
        <w:t xml:space="preserve"> CAIEMS——</w:t>
      </w:r>
      <w:r>
        <w:rPr>
          <w:rFonts w:ascii="宋体" w:hAnsi="宋体" w:eastAsia="宋体"/>
        </w:rPr>
        <w:t>一条探索性</w:t>
      </w:r>
      <w:r>
        <w:t xml:space="preserve"> LLM </w:t>
      </w:r>
      <w:r>
        <w:rPr>
          <w:rFonts w:ascii="宋体" w:hAnsi="宋体" w:eastAsia="宋体"/>
        </w:rPr>
        <w:t>数据工程管道，将公开可获取的中文施工事故叙述加工为可查询的数据库原型：</w:t>
      </w:r>
      <w:r>
        <w:t xml:space="preserve">2,623 </w:t>
      </w:r>
      <w:r>
        <w:rPr>
          <w:rFonts w:ascii="宋体" w:hAnsi="宋体" w:eastAsia="宋体"/>
        </w:rPr>
        <w:t>条记录、</w:t>
      </w:r>
      <w:r>
        <w:t xml:space="preserve">33 </w:t>
      </w:r>
      <w:r>
        <w:rPr>
          <w:rFonts w:ascii="宋体" w:hAnsi="宋体" w:eastAsia="宋体"/>
        </w:rPr>
        <w:t>个字段、</w:t>
      </w:r>
      <w:r>
        <w:t xml:space="preserve">16,323 </w:t>
      </w:r>
      <w:r>
        <w:rPr>
          <w:rFonts w:ascii="宋体" w:hAnsi="宋体" w:eastAsia="宋体"/>
        </w:rPr>
        <w:t>条致因标注。标注采用三层证据分级方案：逐字证据编码、语义归纳编码与领域先验推断编码，三者分字段存储、分口径统计。管道集成了网络门户与事故汇编数字化构成的双轨采集、</w:t>
      </w:r>
      <w:r>
        <w:t xml:space="preserve">LLM </w:t>
      </w:r>
      <w:r>
        <w:rPr>
          <w:rFonts w:ascii="宋体" w:hAnsi="宋体" w:eastAsia="宋体"/>
        </w:rPr>
        <w:t>文本分类、结构化字段抽取、基于</w:t>
      </w:r>
      <w:r>
        <w:t xml:space="preserve"> CAICS </w:t>
      </w:r>
      <w:r>
        <w:rPr>
          <w:rFonts w:ascii="宋体" w:hAnsi="宋体" w:eastAsia="宋体"/>
        </w:rPr>
        <w:t>操作性编码方案（</w:t>
      </w:r>
      <w:r>
        <w:t xml:space="preserve">5 </w:t>
      </w:r>
      <w:r>
        <w:rPr>
          <w:rFonts w:ascii="宋体" w:hAnsi="宋体" w:eastAsia="宋体"/>
        </w:rPr>
        <w:t>层</w:t>
      </w:r>
      <w:r>
        <w:t xml:space="preserve"> 19 </w:t>
      </w:r>
      <w:r>
        <w:rPr>
          <w:rFonts w:ascii="宋体" w:hAnsi="宋体" w:eastAsia="宋体"/>
        </w:rPr>
        <w:t>类）的致因编码、</w:t>
      </w:r>
      <w:r>
        <w:t xml:space="preserve">MECE </w:t>
      </w:r>
      <w:r>
        <w:rPr>
          <w:rFonts w:ascii="宋体" w:hAnsi="宋体" w:eastAsia="宋体"/>
        </w:rPr>
        <w:t>字段标准化与交互式</w:t>
      </w:r>
      <w:r>
        <w:t xml:space="preserve"> Web/REST </w:t>
      </w:r>
      <w:r>
        <w:rPr>
          <w:rFonts w:ascii="宋体" w:hAnsi="宋体" w:eastAsia="宋体"/>
        </w:rPr>
        <w:t>界面。三项支撑实验均以明确限定的口径报告。其一，</w:t>
      </w:r>
      <w:r>
        <w:t xml:space="preserve">4 </w:t>
      </w:r>
      <w:r>
        <w:rPr>
          <w:rFonts w:ascii="宋体" w:hAnsi="宋体" w:eastAsia="宋体"/>
        </w:rPr>
        <w:t>个</w:t>
      </w:r>
      <w:r>
        <w:t xml:space="preserve"> LLM </w:t>
      </w:r>
      <w:r>
        <w:rPr>
          <w:rFonts w:ascii="宋体" w:hAnsi="宋体" w:eastAsia="宋体"/>
        </w:rPr>
        <w:t>在</w:t>
      </w:r>
      <w:r>
        <w:t xml:space="preserve"> 200 </w:t>
      </w:r>
      <w:r>
        <w:rPr>
          <w:rFonts w:ascii="宋体" w:hAnsi="宋体" w:eastAsia="宋体"/>
        </w:rPr>
        <w:t>条记录上的约束性比较：所选模型基础字段准确率</w:t>
      </w:r>
      <w:r>
        <w:t xml:space="preserve"> 91.2%</w:t>
      </w:r>
      <w:r>
        <w:t>，且为候选模型中成本最低者；需说明的是各模型运行条件并不对等（温度约束与输出预算不同），因此这是面向选型的系统级比较，而非一般性能力排名。其二，</w:t>
      </w:r>
      <w:r>
        <w:t xml:space="preserve">100 </w:t>
      </w:r>
      <w:r>
        <w:rPr>
          <w:rFonts w:ascii="宋体" w:hAnsi="宋体" w:eastAsia="宋体"/>
        </w:rPr>
        <w:t>条记录、三专家多数投票真值上的六策略提示对比（少样本最优，</w:t>
      </w:r>
      <w:r>
        <w:t>F1=0.669</w:t>
      </w:r>
      <w:r>
        <w:t>），期间观察到一种提示措辞敏感性</w:t>
      </w:r>
      <w:r>
        <w:t>——</w:t>
      </w:r>
      <w:r>
        <w:rPr>
          <w:rFonts w:ascii="宋体" w:hAnsi="宋体" w:eastAsia="宋体"/>
        </w:rPr>
        <w:t>我们称之为词汇门控效应：疑问式条件检查措辞抑制了隐性类别的同义证据（</w:t>
      </w:r>
      <w:r>
        <w:t xml:space="preserve">M1 </w:t>
      </w:r>
      <w:r>
        <w:rPr>
          <w:rFonts w:ascii="宋体" w:hAnsi="宋体" w:eastAsia="宋体"/>
        </w:rPr>
        <w:t>召回</w:t>
      </w:r>
      <w:r>
        <w:t xml:space="preserve"> 0.141</w:t>
      </w:r>
      <w:r>
        <w:t>），同一设置下两步判断改写将</w:t>
      </w:r>
      <w:r>
        <w:t xml:space="preserve"> M1 </w:t>
      </w:r>
      <w:r>
        <w:rPr>
          <w:rFonts w:ascii="宋体" w:hAnsi="宋体" w:eastAsia="宋体"/>
        </w:rPr>
        <w:t>召回提升至</w:t>
      </w:r>
      <w:r>
        <w:t xml:space="preserve"> 0.941</w:t>
      </w:r>
      <w:r>
        <w:t>。我们将其报告为带实用补救的观察性现象，而非已分离的因果机制。其三，协议研究（</w:t>
      </w:r>
      <w:r>
        <w:t>n=289</w:t>
      </w:r>
      <w:r>
        <w:t>）：</w:t>
      </w:r>
      <w:r>
        <w:t xml:space="preserve">LLM </w:t>
      </w:r>
      <w:r>
        <w:rPr>
          <w:rFonts w:ascii="宋体" w:hAnsi="宋体" w:eastAsia="宋体"/>
        </w:rPr>
        <w:t>与一名受训标注者在六项基础字段上达到高一致性（分类字段</w:t>
      </w:r>
      <w:r>
        <w:t xml:space="preserve"> Cohen's kappa 0.91–0.97</w:t>
      </w:r>
      <w:r>
        <w:t>；计数字段</w:t>
      </w:r>
      <w:r>
        <w:t xml:space="preserve"> ICC 0.985</w:t>
      </w:r>
      <w:r>
        <w:t>；日期年</w:t>
      </w:r>
      <w:r>
        <w:t>-</w:t>
      </w:r>
      <w:r>
        <w:rPr>
          <w:rFonts w:ascii="宋体" w:hAnsi="宋体" w:eastAsia="宋体"/>
        </w:rPr>
        <w:t>月匹配率</w:t>
      </w:r>
      <w:r>
        <w:t xml:space="preserve"> 99.7%</w:t>
      </w:r>
      <w:r>
        <w:t>）。全文对结果的边界作显式声明：银标准部分由模型输出构建，提示开发与最终测试共用同一样本，数据库覆盖的是公开可检索的事故报道而非全部施工事故的代表性样本。</w:t>
      </w:r>
    </w:p>
    <w:p>
      <w:r>
        <w:rPr>
          <w:rFonts w:ascii="宋体" w:hAnsi="宋体" w:eastAsia="宋体"/>
          <w:b/>
        </w:rPr>
        <w:t>关键词</w:t>
      </w:r>
      <w:r>
        <w:t>：大语言模型；建筑施工安全；信息抽取；提示工程；事故数据库；致因标注；标注者一致性</w:t>
      </w:r>
    </w:p>
    <w:p>
      <w:pPr>
        <w:pStyle w:val="Heading1"/>
      </w:pPr>
      <w:r>
        <w:rPr>
          <w:color w:val="000000"/>
          <w:sz w:val="28"/>
        </w:rPr>
        <w:t xml:space="preserve">1. </w:t>
      </w:r>
      <w:r>
        <w:rPr>
          <w:rFonts w:ascii="宋体" w:hAnsi="宋体" w:eastAsia="宋体"/>
          <w:color w:val="000000"/>
          <w:sz w:val="28"/>
        </w:rPr>
        <w:t>引言</w:t>
      </w:r>
    </w:p>
    <w:p>
      <w:r>
        <w:rPr>
          <w:rFonts w:ascii="宋体" w:hAnsi="宋体" w:eastAsia="宋体"/>
        </w:rPr>
        <w:t>建筑业仍是全球最危险的行业之一。每起施工亡人事故都会产生调查报告与新闻报道，记录发生了什么、如何发生、为何发生。这些文本承载着数十年间积累的致因信息，却以非结构化自然语言存在，难以系统分析。在中国，事故叙述分散于安全信息门户、地方应急管理局、新闻媒体与公开事故汇编，人工汇编成本高昂，自动汇编则是一个反复出现的工程挑战（</w:t>
      </w:r>
      <w:r>
        <w:t>Kong and Ahn, 2024</w:t>
      </w:r>
      <w:r>
        <w:t>）。</w:t>
      </w:r>
    </w:p>
    <w:p>
      <w:r>
        <w:rPr>
          <w:rFonts w:ascii="宋体" w:hAnsi="宋体" w:eastAsia="宋体"/>
        </w:rPr>
        <w:t>针对这一转化问题的既有计算路径可分为三类。</w:t>
      </w:r>
      <w:r>
        <w:t xml:space="preserve">BERT </w:t>
      </w:r>
      <w:r>
        <w:rPr>
          <w:rFonts w:ascii="宋体" w:hAnsi="宋体" w:eastAsia="宋体"/>
        </w:rPr>
        <w:t>及其蒸馏变体等监督分类器依赖标注语料，而该领域的标注语料生产成本高昂（</w:t>
      </w:r>
      <w:r>
        <w:t>Togan et al., 2025</w:t>
      </w:r>
      <w:r>
        <w:t>）。基于</w:t>
      </w:r>
      <w:r>
        <w:t xml:space="preserve"> LLM </w:t>
      </w:r>
      <w:r>
        <w:rPr>
          <w:rFonts w:ascii="宋体" w:hAnsi="宋体" w:eastAsia="宋体"/>
        </w:rPr>
        <w:t>的研究已演示了从</w:t>
      </w:r>
      <w:r>
        <w:t xml:space="preserve"> OSHA </w:t>
      </w:r>
      <w:r>
        <w:rPr>
          <w:rFonts w:ascii="宋体" w:hAnsi="宋体" w:eastAsia="宋体"/>
        </w:rPr>
        <w:t>叙述中提取事故属性（</w:t>
      </w:r>
      <w:r>
        <w:t>Ahmadi et al., 2024</w:t>
      </w:r>
      <w:r>
        <w:t>）、对韩国坠落事故做</w:t>
      </w:r>
      <w:r>
        <w:t xml:space="preserve"> HFACS </w:t>
      </w:r>
      <w:r>
        <w:rPr>
          <w:rFonts w:ascii="宋体" w:hAnsi="宋体" w:eastAsia="宋体"/>
        </w:rPr>
        <w:t>分类（</w:t>
      </w:r>
      <w:r>
        <w:t>Kim and Han, 2024</w:t>
      </w:r>
      <w:r>
        <w:t>）、从施工报告构建知识图谱（</w:t>
      </w:r>
      <w:r>
        <w:t>Liu and Luo, 2025</w:t>
      </w:r>
      <w:r>
        <w:t>）的可行性。但这些成果大多止步于单项研究：抽取服务于某一次分析或静态图谱，而非可检查、可更新的数据库。</w:t>
      </w:r>
    </w:p>
    <w:p>
      <w:r>
        <w:rPr>
          <w:rFonts w:ascii="宋体" w:hAnsi="宋体" w:eastAsia="宋体"/>
        </w:rPr>
        <w:t>本文报告的是</w:t>
      </w:r>
      <w:r>
        <w:t xml:space="preserve"> CAIEMS——</w:t>
      </w:r>
      <w:r>
        <w:rPr>
          <w:rFonts w:ascii="宋体" w:hAnsi="宋体" w:eastAsia="宋体"/>
        </w:rPr>
        <w:t>一项探索性数据工程工作，而非理论证实性研究。唯一的组织性问题是实践性的：一个小团队能否利用通用</w:t>
      </w:r>
      <w:r>
        <w:t xml:space="preserve"> LLM API </w:t>
      </w:r>
      <w:r>
        <w:rPr>
          <w:rFonts w:ascii="宋体" w:hAnsi="宋体" w:eastAsia="宋体"/>
        </w:rPr>
        <w:t>与有限算力，将公开可获取的中文事故叙述转化为可查询的数据库，并使标签在明确界定的置信层级上可追溯到原文？我们报告管道产出了什么、我们对其可靠性测量了什么、以及我们尚不能确立什么。</w:t>
      </w:r>
    </w:p>
    <w:p>
      <w:r>
        <w:rPr>
          <w:rFonts w:ascii="宋体" w:hAnsi="宋体" w:eastAsia="宋体"/>
        </w:rPr>
        <w:t>这一框架对应三项贡献。</w:t>
      </w:r>
      <w:r>
        <w:t xml:space="preserve">(C1) </w:t>
      </w:r>
      <w:r>
        <w:rPr>
          <w:rFonts w:ascii="宋体" w:hAnsi="宋体" w:eastAsia="宋体"/>
        </w:rPr>
        <w:t>数据工程管道与数据库原型：</w:t>
      </w:r>
      <w:r>
        <w:t xml:space="preserve">2,623 </w:t>
      </w:r>
      <w:r>
        <w:rPr>
          <w:rFonts w:ascii="宋体" w:hAnsi="宋体" w:eastAsia="宋体"/>
        </w:rPr>
        <w:t>条记录，采集自网络爬取公开门户与公开事故汇编数字化构成的双轨方案，含</w:t>
      </w:r>
      <w:r>
        <w:t xml:space="preserve"> 33 </w:t>
      </w:r>
      <w:r>
        <w:rPr>
          <w:rFonts w:ascii="宋体" w:hAnsi="宋体" w:eastAsia="宋体"/>
        </w:rPr>
        <w:t>字段与</w:t>
      </w:r>
      <w:r>
        <w:t xml:space="preserve"> 16,323 </w:t>
      </w:r>
      <w:r>
        <w:rPr>
          <w:rFonts w:ascii="宋体" w:hAnsi="宋体" w:eastAsia="宋体"/>
        </w:rPr>
        <w:t>条三层分级致因标注，配</w:t>
      </w:r>
      <w:r>
        <w:t xml:space="preserve"> Web </w:t>
      </w:r>
      <w:r>
        <w:rPr>
          <w:rFonts w:ascii="宋体" w:hAnsi="宋体" w:eastAsia="宋体"/>
        </w:rPr>
        <w:t>界面与</w:t>
      </w:r>
      <w:r>
        <w:t xml:space="preserve"> REST API</w:t>
      </w:r>
      <w:r>
        <w:t>；数据与代码于论文发表后开放检查。</w:t>
      </w:r>
      <w:r>
        <w:t xml:space="preserve">(C2) CAICS </w:t>
      </w:r>
      <w:r>
        <w:rPr>
          <w:rFonts w:ascii="宋体" w:hAnsi="宋体" w:eastAsia="宋体"/>
        </w:rPr>
        <w:t>操作性编码方案</w:t>
      </w:r>
      <w:r>
        <w:t>——</w:t>
      </w:r>
      <w:r>
        <w:rPr>
          <w:rFonts w:ascii="宋体" w:hAnsi="宋体" w:eastAsia="宋体"/>
        </w:rPr>
        <w:t>面向施工事故致因的</w:t>
      </w:r>
      <w:r>
        <w:t xml:space="preserve"> 5 </w:t>
      </w:r>
      <w:r>
        <w:rPr>
          <w:rFonts w:ascii="宋体" w:hAnsi="宋体" w:eastAsia="宋体"/>
        </w:rPr>
        <w:t>层</w:t>
      </w:r>
      <w:r>
        <w:t xml:space="preserve"> 19 </w:t>
      </w:r>
      <w:r>
        <w:rPr>
          <w:rFonts w:ascii="宋体" w:hAnsi="宋体" w:eastAsia="宋体"/>
        </w:rPr>
        <w:t>类操作定义，明确将其定位为本数据库的操作性方案，而非新的致因理论。</w:t>
      </w:r>
      <w:r>
        <w:t xml:space="preserve">(C3) </w:t>
      </w:r>
      <w:r>
        <w:rPr>
          <w:rFonts w:ascii="宋体" w:hAnsi="宋体" w:eastAsia="宋体"/>
        </w:rPr>
        <w:t>一个经验记录的提示措辞敏感性</w:t>
      </w:r>
      <w:r>
        <w:t>——</w:t>
      </w:r>
      <w:r>
        <w:rPr>
          <w:rFonts w:ascii="宋体" w:hAnsi="宋体" w:eastAsia="宋体"/>
        </w:rPr>
        <w:t>词汇门控效应</w:t>
      </w:r>
      <w:r>
        <w:t>——</w:t>
      </w:r>
      <w:r>
        <w:rPr>
          <w:rFonts w:ascii="宋体" w:hAnsi="宋体" w:eastAsia="宋体"/>
        </w:rPr>
        <w:t>在提示开发过程中观察到，并配有带边界声明的两步判断补救。</w:t>
      </w:r>
    </w:p>
    <w:p>
      <w:r>
        <w:rPr>
          <w:rFonts w:ascii="宋体" w:hAnsi="宋体" w:eastAsia="宋体"/>
        </w:rPr>
        <w:t>三项支撑实验锚定可靠性讨论。实验一在</w:t>
      </w:r>
      <w:r>
        <w:t xml:space="preserve"> 200 </w:t>
      </w:r>
      <w:r>
        <w:rPr>
          <w:rFonts w:ascii="宋体" w:hAnsi="宋体" w:eastAsia="宋体"/>
        </w:rPr>
        <w:t>条记录上比较</w:t>
      </w:r>
      <w:r>
        <w:t xml:space="preserve"> 4 </w:t>
      </w:r>
      <w:r>
        <w:rPr>
          <w:rFonts w:ascii="宋体" w:hAnsi="宋体" w:eastAsia="宋体"/>
        </w:rPr>
        <w:t>个</w:t>
      </w:r>
      <w:r>
        <w:t xml:space="preserve"> LLM </w:t>
      </w:r>
      <w:r>
        <w:rPr>
          <w:rFonts w:ascii="宋体" w:hAnsi="宋体" w:eastAsia="宋体"/>
        </w:rPr>
        <w:t>以支持骨干选型，并显式声明运行条件不对等的保留。实验二在</w:t>
      </w:r>
      <w:r>
        <w:t xml:space="preserve"> 100 </w:t>
      </w:r>
      <w:r>
        <w:rPr>
          <w:rFonts w:ascii="宋体" w:hAnsi="宋体" w:eastAsia="宋体"/>
        </w:rPr>
        <w:t>条记录、三专家多数投票真值上比较六种提示策略；该实验发现了上述措辞敏感性。实验三在</w:t>
      </w:r>
      <w:r>
        <w:t xml:space="preserve"> 289 </w:t>
      </w:r>
      <w:r>
        <w:rPr>
          <w:rFonts w:ascii="宋体" w:hAnsi="宋体" w:eastAsia="宋体"/>
        </w:rPr>
        <w:t>条记录上测量</w:t>
      </w:r>
      <w:r>
        <w:t xml:space="preserve"> LLM </w:t>
      </w:r>
      <w:r>
        <w:rPr>
          <w:rFonts w:ascii="宋体" w:hAnsi="宋体" w:eastAsia="宋体"/>
        </w:rPr>
        <w:t>与一名受训标注者在六项基础字段上的一致性。各实验所用样本的已知局限</w:t>
      </w:r>
      <w:r>
        <w:t>——</w:t>
      </w:r>
      <w:r>
        <w:rPr>
          <w:rFonts w:ascii="宋体" w:hAnsi="宋体" w:eastAsia="宋体"/>
        </w:rPr>
        <w:t>银标准部分由模型产出、策略样本同时承担开发与最终报告</w:t>
      </w:r>
      <w:r>
        <w:t>——</w:t>
      </w:r>
      <w:r>
        <w:rPr>
          <w:rFonts w:ascii="宋体" w:hAnsi="宋体" w:eastAsia="宋体"/>
        </w:rPr>
        <w:t>均在每次使用处声明，而非集中于一段笼统的保留说明。</w:t>
      </w:r>
    </w:p>
    <w:p>
      <w:r>
        <w:rPr>
          <w:rFonts w:ascii="宋体" w:hAnsi="宋体" w:eastAsia="宋体"/>
        </w:rPr>
        <w:t>论文其余部分组织如下：第</w:t>
      </w:r>
      <w:r>
        <w:t xml:space="preserve"> 2 </w:t>
      </w:r>
      <w:r>
        <w:rPr>
          <w:rFonts w:ascii="宋体" w:hAnsi="宋体" w:eastAsia="宋体"/>
        </w:rPr>
        <w:t>节综述相关工作；第</w:t>
      </w:r>
      <w:r>
        <w:t xml:space="preserve"> 3 </w:t>
      </w:r>
      <w:r>
        <w:rPr>
          <w:rFonts w:ascii="宋体" w:hAnsi="宋体" w:eastAsia="宋体"/>
        </w:rPr>
        <w:t>节描述数据来源与语料构建、证据分级方案、</w:t>
      </w:r>
      <w:r>
        <w:t xml:space="preserve">CAICS </w:t>
      </w:r>
      <w:r>
        <w:rPr>
          <w:rFonts w:ascii="宋体" w:hAnsi="宋体" w:eastAsia="宋体"/>
        </w:rPr>
        <w:t>操作定义、管道架构与数据库；第</w:t>
      </w:r>
      <w:r>
        <w:t xml:space="preserve"> 4 </w:t>
      </w:r>
      <w:r>
        <w:rPr>
          <w:rFonts w:ascii="宋体" w:hAnsi="宋体" w:eastAsia="宋体"/>
        </w:rPr>
        <w:t>节按声明口径报告三项实验；第</w:t>
      </w:r>
      <w:r>
        <w:t xml:space="preserve"> 5 </w:t>
      </w:r>
      <w:r>
        <w:rPr>
          <w:rFonts w:ascii="宋体" w:hAnsi="宋体" w:eastAsia="宋体"/>
        </w:rPr>
        <w:t>节讨论意义与局限；第</w:t>
      </w:r>
      <w:r>
        <w:t xml:space="preserve"> 6 </w:t>
      </w:r>
      <w:r>
        <w:rPr>
          <w:rFonts w:ascii="宋体" w:hAnsi="宋体" w:eastAsia="宋体"/>
        </w:rPr>
        <w:t>节总结。</w:t>
      </w:r>
    </w:p>
    <w:p>
      <w:pPr>
        <w:pStyle w:val="Heading1"/>
      </w:pPr>
      <w:r>
        <w:rPr>
          <w:color w:val="000000"/>
          <w:sz w:val="28"/>
        </w:rPr>
        <w:t xml:space="preserve">2. </w:t>
      </w:r>
      <w:r>
        <w:rPr>
          <w:rFonts w:ascii="宋体" w:hAnsi="宋体" w:eastAsia="宋体"/>
          <w:color w:val="000000"/>
          <w:sz w:val="28"/>
        </w:rPr>
        <w:t>相关工作</w:t>
      </w:r>
    </w:p>
    <w:p>
      <w:pPr>
        <w:pStyle w:val="Heading2"/>
      </w:pPr>
      <w:r>
        <w:rPr>
          <w:color w:val="000000"/>
        </w:rPr>
        <w:t xml:space="preserve">2.1 </w:t>
      </w:r>
      <w:r>
        <w:rPr>
          <w:rFonts w:ascii="宋体" w:hAnsi="宋体" w:eastAsia="宋体"/>
          <w:color w:val="000000"/>
        </w:rPr>
        <w:t>施工事故文档的文本分析</w:t>
      </w:r>
    </w:p>
    <w:p>
      <w:r>
        <w:rPr>
          <w:rFonts w:ascii="宋体" w:hAnsi="宋体" w:eastAsia="宋体"/>
        </w:rPr>
        <w:t>施工安全文档的计算分析早于</w:t>
      </w:r>
      <w:r>
        <w:t xml:space="preserve"> LLM</w:t>
      </w:r>
      <w:r>
        <w:t>。对人工编码记录做关联规则挖掘识别了事故类型与致因因素间的可解释关联（</w:t>
      </w:r>
      <w:r>
        <w:t>Rafindadi et al., 2023</w:t>
      </w:r>
      <w:r>
        <w:t>）；对</w:t>
      </w:r>
      <w:r>
        <w:t xml:space="preserve"> OSHA </w:t>
      </w:r>
      <w:r>
        <w:rPr>
          <w:rFonts w:ascii="宋体" w:hAnsi="宋体" w:eastAsia="宋体"/>
        </w:rPr>
        <w:t>屋面工人记录做决策树建模产出了伤害预测规则（</w:t>
      </w:r>
      <w:r>
        <w:t>Onuchukwu et al., 2024</w:t>
      </w:r>
      <w:r>
        <w:t>）。</w:t>
      </w:r>
      <w:r>
        <w:t xml:space="preserve">Ayhan and Tokdemir (2019) </w:t>
      </w:r>
      <w:r>
        <w:rPr>
          <w:rFonts w:ascii="宋体" w:hAnsi="宋体" w:eastAsia="宋体"/>
        </w:rPr>
        <w:t>在专家编码事件集上结合回归与模糊逻辑。这些研究的共同约束是循环性的：分析质量受制于结构化输入，而结构化输入本身产自昂贵的人工编码。</w:t>
      </w:r>
      <w:r>
        <w:t xml:space="preserve">Togan et al. (2025) </w:t>
      </w:r>
      <w:r>
        <w:rPr>
          <w:rFonts w:ascii="宋体" w:hAnsi="宋体" w:eastAsia="宋体"/>
        </w:rPr>
        <w:t>直面转化环节，在</w:t>
      </w:r>
      <w:r>
        <w:t xml:space="preserve"> 5,224 </w:t>
      </w:r>
      <w:r>
        <w:rPr>
          <w:rFonts w:ascii="宋体" w:hAnsi="宋体" w:eastAsia="宋体"/>
        </w:rPr>
        <w:t>条施工事故案例上对比</w:t>
      </w:r>
      <w:r>
        <w:t xml:space="preserve"> TF-IDF</w:t>
      </w:r>
      <w:r>
        <w:t>、</w:t>
      </w:r>
      <w:r>
        <w:t>BERT</w:t>
      </w:r>
      <w:r>
        <w:t>、</w:t>
      </w:r>
      <w:r>
        <w:t>RoBERTa</w:t>
      </w:r>
      <w:r>
        <w:t>、</w:t>
      </w:r>
      <w:r>
        <w:t xml:space="preserve">XLNet </w:t>
      </w:r>
      <w:r>
        <w:rPr>
          <w:rFonts w:ascii="宋体" w:hAnsi="宋体" w:eastAsia="宋体"/>
        </w:rPr>
        <w:t>与</w:t>
      </w:r>
      <w:r>
        <w:t xml:space="preserve"> DistilBERT </w:t>
      </w:r>
      <w:r>
        <w:rPr>
          <w:rFonts w:ascii="宋体" w:hAnsi="宋体" w:eastAsia="宋体"/>
        </w:rPr>
        <w:t>的安全属性提取，发现</w:t>
      </w:r>
      <w:r>
        <w:t xml:space="preserve"> DistilBERT </w:t>
      </w:r>
      <w:r>
        <w:rPr>
          <w:rFonts w:ascii="宋体" w:hAnsi="宋体" w:eastAsia="宋体"/>
        </w:rPr>
        <w:t>以约一半的计算成本取得相近性能。其结果是监督范式的典型写照：可用的准确率（等级分类</w:t>
      </w:r>
      <w:r>
        <w:t xml:space="preserve"> F1=0.72</w:t>
      </w:r>
      <w:r>
        <w:t>）以大规模标注语料为代价。</w:t>
      </w:r>
    </w:p>
    <w:p>
      <w:pPr>
        <w:pStyle w:val="Heading2"/>
      </w:pPr>
      <w:r>
        <w:rPr>
          <w:color w:val="000000"/>
        </w:rPr>
        <w:t xml:space="preserve">2.2 LLM </w:t>
      </w:r>
      <w:r>
        <w:rPr>
          <w:rFonts w:ascii="宋体" w:hAnsi="宋体" w:eastAsia="宋体"/>
          <w:color w:val="000000"/>
        </w:rPr>
        <w:t>事故信息抽取</w:t>
      </w:r>
    </w:p>
    <w:p>
      <w:r>
        <w:t xml:space="preserve">LLM </w:t>
      </w:r>
      <w:r>
        <w:rPr>
          <w:rFonts w:ascii="宋体" w:hAnsi="宋体" w:eastAsia="宋体"/>
        </w:rPr>
        <w:t>通过无需任务特定训练、直接从文本推断结构改变了瓶颈位置（</w:t>
      </w:r>
      <w:r>
        <w:t>Brown et al., 2020; OpenAI, 2023</w:t>
      </w:r>
      <w:r>
        <w:t>）。</w:t>
      </w:r>
      <w:r>
        <w:t xml:space="preserve">Ahmadi et al. (2024) </w:t>
      </w:r>
      <w:r>
        <w:rPr>
          <w:rFonts w:ascii="宋体" w:hAnsi="宋体" w:eastAsia="宋体"/>
        </w:rPr>
        <w:t>评测</w:t>
      </w:r>
      <w:r>
        <w:t xml:space="preserve"> GPT-3.5</w:t>
      </w:r>
      <w:r>
        <w:t>、</w:t>
      </w:r>
      <w:r>
        <w:t>GPT-4.0</w:t>
      </w:r>
      <w:r>
        <w:t>、</w:t>
      </w:r>
      <w:r>
        <w:t xml:space="preserve">Gemini Pro </w:t>
      </w:r>
      <w:r>
        <w:rPr>
          <w:rFonts w:ascii="宋体" w:hAnsi="宋体" w:eastAsia="宋体"/>
        </w:rPr>
        <w:t>与</w:t>
      </w:r>
      <w:r>
        <w:t xml:space="preserve"> LLaMA 3.1 </w:t>
      </w:r>
      <w:r>
        <w:rPr>
          <w:rFonts w:ascii="宋体" w:hAnsi="宋体" w:eastAsia="宋体"/>
        </w:rPr>
        <w:t>对</w:t>
      </w:r>
      <w:r>
        <w:t xml:space="preserve"> OSHA </w:t>
      </w:r>
      <w:r>
        <w:rPr>
          <w:rFonts w:ascii="宋体" w:hAnsi="宋体" w:eastAsia="宋体"/>
        </w:rPr>
        <w:t>施工报告的分类。</w:t>
      </w:r>
      <w:r>
        <w:t xml:space="preserve">Zhang, Hou, et al. (2025a) </w:t>
      </w:r>
      <w:r>
        <w:rPr>
          <w:rFonts w:ascii="宋体" w:hAnsi="宋体" w:eastAsia="宋体"/>
        </w:rPr>
        <w:t>构建了基于</w:t>
      </w:r>
      <w:r>
        <w:t xml:space="preserve"> GPT </w:t>
      </w:r>
      <w:r>
        <w:rPr>
          <w:rFonts w:ascii="宋体" w:hAnsi="宋体" w:eastAsia="宋体"/>
        </w:rPr>
        <w:t>的地铁施工报告分析对话系统</w:t>
      </w:r>
      <w:r>
        <w:t xml:space="preserve"> AIR Agent</w:t>
      </w:r>
      <w:r>
        <w:t>。</w:t>
      </w:r>
      <w:r>
        <w:t xml:space="preserve">Liu, Ding, et al. (2025b) </w:t>
      </w:r>
      <w:r>
        <w:rPr>
          <w:rFonts w:ascii="宋体" w:hAnsi="宋体" w:eastAsia="宋体"/>
        </w:rPr>
        <w:t>将零样本</w:t>
      </w:r>
      <w:r>
        <w:t xml:space="preserve"> GPT-4o </w:t>
      </w:r>
      <w:r>
        <w:rPr>
          <w:rFonts w:ascii="宋体" w:hAnsi="宋体" w:eastAsia="宋体"/>
        </w:rPr>
        <w:t>抽取应用于</w:t>
      </w:r>
      <w:r>
        <w:t xml:space="preserve"> 1,097 </w:t>
      </w:r>
      <w:r>
        <w:rPr>
          <w:rFonts w:ascii="宋体" w:hAnsi="宋体" w:eastAsia="宋体"/>
        </w:rPr>
        <w:t>条高处坠落报告，实体识别</w:t>
      </w:r>
      <w:r>
        <w:t xml:space="preserve"> F1=0.94</w:t>
      </w:r>
      <w:r>
        <w:t>。相邻领域中，</w:t>
      </w:r>
      <w:r>
        <w:t xml:space="preserve">Huang et al. (2026) </w:t>
      </w:r>
      <w:r>
        <w:rPr>
          <w:rFonts w:ascii="宋体" w:hAnsi="宋体" w:eastAsia="宋体"/>
        </w:rPr>
        <w:t>为海事事故构建了带质量评估框架的</w:t>
      </w:r>
      <w:r>
        <w:t xml:space="preserve"> LLM </w:t>
      </w:r>
      <w:r>
        <w:rPr>
          <w:rFonts w:ascii="宋体" w:hAnsi="宋体" w:eastAsia="宋体"/>
        </w:rPr>
        <w:t>知识图谱管道，</w:t>
      </w:r>
      <w:r>
        <w:t xml:space="preserve">Jiang et al. (2026) </w:t>
      </w:r>
      <w:r>
        <w:rPr>
          <w:rFonts w:ascii="宋体" w:hAnsi="宋体" w:eastAsia="宋体"/>
        </w:rPr>
        <w:t>构建了带本体建模与交互可视化的煤矿事故知识图谱。这些系统已在不同程度上组合了采集、</w:t>
      </w:r>
      <w:r>
        <w:t xml:space="preserve">LLM </w:t>
      </w:r>
      <w:r>
        <w:rPr>
          <w:rFonts w:ascii="宋体" w:hAnsi="宋体" w:eastAsia="宋体"/>
        </w:rPr>
        <w:t>抽取与图谱存储；差异在于数据质量报告的深度、是否存在人工验证的参考标准、以及产物是否作为可更新服务维护。</w:t>
      </w:r>
    </w:p>
    <w:p>
      <w:pPr>
        <w:pStyle w:val="Heading2"/>
      </w:pPr>
      <w:r>
        <w:rPr>
          <w:color w:val="000000"/>
        </w:rPr>
        <w:t xml:space="preserve">2.3 </w:t>
      </w:r>
      <w:r>
        <w:rPr>
          <w:rFonts w:ascii="宋体" w:hAnsi="宋体" w:eastAsia="宋体"/>
          <w:color w:val="000000"/>
        </w:rPr>
        <w:t>基于</w:t>
      </w:r>
      <w:r>
        <w:rPr>
          <w:color w:val="000000"/>
        </w:rPr>
        <w:t xml:space="preserve"> HFACS </w:t>
      </w:r>
      <w:r>
        <w:rPr>
          <w:rFonts w:ascii="宋体" w:hAnsi="宋体" w:eastAsia="宋体"/>
          <w:color w:val="000000"/>
        </w:rPr>
        <w:t>的</w:t>
      </w:r>
      <w:r>
        <w:rPr>
          <w:color w:val="000000"/>
        </w:rPr>
        <w:t xml:space="preserve"> LLM </w:t>
      </w:r>
      <w:r>
        <w:rPr>
          <w:rFonts w:ascii="宋体" w:hAnsi="宋体" w:eastAsia="宋体"/>
          <w:color w:val="000000"/>
        </w:rPr>
        <w:t>致因分类</w:t>
      </w:r>
    </w:p>
    <w:p>
      <w:r>
        <w:rPr>
          <w:rFonts w:ascii="宋体" w:hAnsi="宋体" w:eastAsia="宋体"/>
        </w:rPr>
        <w:t>人因分析与分类系统（</w:t>
      </w:r>
      <w:r>
        <w:t>Shappell and Wiegmann, 2000</w:t>
      </w:r>
      <w:r>
        <w:t>）主导高风险行业的致因分类。思维链提示（</w:t>
      </w:r>
      <w:r>
        <w:t>Wei et al., 2022</w:t>
      </w:r>
      <w:r>
        <w:t>）及其变体</w:t>
      </w:r>
      <w:r>
        <w:t>——</w:t>
      </w:r>
      <w:r>
        <w:rPr>
          <w:rFonts w:ascii="宋体" w:hAnsi="宋体" w:eastAsia="宋体"/>
        </w:rPr>
        <w:t>零样本推理（</w:t>
      </w:r>
      <w:r>
        <w:t>Kojima et al., 2022</w:t>
      </w:r>
      <w:r>
        <w:t>）、自洽解码（</w:t>
      </w:r>
      <w:r>
        <w:t>Wang et al., 2023</w:t>
      </w:r>
      <w:r>
        <w:t>）与从易到难分解（</w:t>
      </w:r>
      <w:r>
        <w:t>Zhou et al., 2023</w:t>
      </w:r>
      <w:r>
        <w:t>）</w:t>
      </w:r>
      <w:r>
        <w:t>——</w:t>
      </w:r>
      <w:r>
        <w:rPr>
          <w:rFonts w:ascii="宋体" w:hAnsi="宋体" w:eastAsia="宋体"/>
        </w:rPr>
        <w:t>构成基于提示的分类方法的方法论基座。</w:t>
      </w:r>
      <w:r>
        <w:t xml:space="preserve">Liu et al. (2025a) </w:t>
      </w:r>
      <w:r>
        <w:rPr>
          <w:rFonts w:ascii="宋体" w:hAnsi="宋体" w:eastAsia="宋体"/>
        </w:rPr>
        <w:t>提出</w:t>
      </w:r>
      <w:r>
        <w:t xml:space="preserve"> HFACS-CoT</w:t>
      </w:r>
      <w:r>
        <w:t>，在</w:t>
      </w:r>
      <w:r>
        <w:t xml:space="preserve"> 113 </w:t>
      </w:r>
      <w:r>
        <w:rPr>
          <w:rFonts w:ascii="宋体" w:hAnsi="宋体" w:eastAsia="宋体"/>
        </w:rPr>
        <w:t>条通用航空叙述上以</w:t>
      </w:r>
      <w:r>
        <w:t xml:space="preserve"> GPT-4o </w:t>
      </w:r>
      <w:r>
        <w:rPr>
          <w:rFonts w:ascii="宋体" w:hAnsi="宋体" w:eastAsia="宋体"/>
        </w:rPr>
        <w:t>比较六种提示策略，发现领域</w:t>
      </w:r>
      <w:r>
        <w:t xml:space="preserve"> CoT </w:t>
      </w:r>
      <w:r>
        <w:rPr>
          <w:rFonts w:ascii="宋体" w:hAnsi="宋体" w:eastAsia="宋体"/>
        </w:rPr>
        <w:t>更优（召回</w:t>
      </w:r>
      <w:r>
        <w:t xml:space="preserve"> 74.9%</w:t>
      </w:r>
      <w:r>
        <w:t>、精确</w:t>
      </w:r>
      <w:r>
        <w:t xml:space="preserve"> 46.2%</w:t>
      </w:r>
      <w:r>
        <w:t>）。</w:t>
      </w:r>
      <w:r>
        <w:t xml:space="preserve">Kim and Han (2024) </w:t>
      </w:r>
      <w:r>
        <w:rPr>
          <w:rFonts w:ascii="宋体" w:hAnsi="宋体" w:eastAsia="宋体"/>
        </w:rPr>
        <w:t>将</w:t>
      </w:r>
      <w:r>
        <w:t xml:space="preserve"> HFACS </w:t>
      </w:r>
      <w:r>
        <w:rPr>
          <w:rFonts w:ascii="宋体" w:hAnsi="宋体" w:eastAsia="宋体"/>
        </w:rPr>
        <w:t>与</w:t>
      </w:r>
      <w:r>
        <w:t xml:space="preserve"> Claude 3.5 Sonnet </w:t>
      </w:r>
      <w:r>
        <w:rPr>
          <w:rFonts w:ascii="宋体" w:hAnsi="宋体" w:eastAsia="宋体"/>
        </w:rPr>
        <w:t>结合分析</w:t>
      </w:r>
      <w:r>
        <w:t xml:space="preserve"> 1,816 </w:t>
      </w:r>
      <w:r>
        <w:rPr>
          <w:rFonts w:ascii="宋体" w:hAnsi="宋体" w:eastAsia="宋体"/>
        </w:rPr>
        <w:t>条韩国施工坠落案例。</w:t>
      </w:r>
      <w:r>
        <w:t xml:space="preserve">Yan et al. (2025) </w:t>
      </w:r>
      <w:r>
        <w:rPr>
          <w:rFonts w:ascii="宋体" w:hAnsi="宋体" w:eastAsia="宋体"/>
        </w:rPr>
        <w:t>跨七个</w:t>
      </w:r>
      <w:r>
        <w:t xml:space="preserve"> LLM </w:t>
      </w:r>
      <w:r>
        <w:rPr>
          <w:rFonts w:ascii="宋体" w:hAnsi="宋体" w:eastAsia="宋体"/>
        </w:rPr>
        <w:t>应用</w:t>
      </w:r>
      <w:r>
        <w:t xml:space="preserve"> HFACS </w:t>
      </w:r>
      <w:r>
        <w:rPr>
          <w:rFonts w:ascii="宋体" w:hAnsi="宋体" w:eastAsia="宋体"/>
        </w:rPr>
        <w:t>引导提示。</w:t>
      </w:r>
      <w:r>
        <w:t xml:space="preserve">Ahmadi et al. (2025) </w:t>
      </w:r>
      <w:r>
        <w:rPr>
          <w:rFonts w:ascii="宋体" w:hAnsi="宋体" w:eastAsia="宋体"/>
        </w:rPr>
        <w:t>探索了</w:t>
      </w:r>
      <w:r>
        <w:t xml:space="preserve"> Llama-3.1 8B </w:t>
      </w:r>
      <w:r>
        <w:rPr>
          <w:rFonts w:ascii="宋体" w:hAnsi="宋体" w:eastAsia="宋体"/>
        </w:rPr>
        <w:t>的</w:t>
      </w:r>
      <w:r>
        <w:t xml:space="preserve"> GRPO </w:t>
      </w:r>
      <w:r>
        <w:rPr>
          <w:rFonts w:ascii="宋体" w:hAnsi="宋体" w:eastAsia="宋体"/>
        </w:rPr>
        <w:t>微调路线。纵观该文献，策略排名均在单一模型</w:t>
      </w:r>
      <w:r>
        <w:t>-</w:t>
      </w:r>
      <w:r>
        <w:rPr>
          <w:rFonts w:ascii="宋体" w:hAnsi="宋体" w:eastAsia="宋体"/>
        </w:rPr>
        <w:t>任务组合内建立，提示设计被报告为</w:t>
      </w:r>
      <w:r>
        <w:t>"</w:t>
      </w:r>
      <w:r>
        <w:rPr>
          <w:rFonts w:ascii="宋体" w:hAnsi="宋体" w:eastAsia="宋体"/>
        </w:rPr>
        <w:t>可用配置</w:t>
      </w:r>
      <w:r>
        <w:t>"</w:t>
      </w:r>
      <w:r>
        <w:t>，鲜有系统考察嵌入知识的措辞如何约束模型行为。</w:t>
      </w:r>
    </w:p>
    <w:p>
      <w:pPr>
        <w:pStyle w:val="Heading2"/>
      </w:pPr>
      <w:r>
        <w:rPr>
          <w:color w:val="000000"/>
        </w:rPr>
        <w:t xml:space="preserve">2.4 </w:t>
      </w:r>
      <w:r>
        <w:rPr>
          <w:rFonts w:ascii="宋体" w:hAnsi="宋体" w:eastAsia="宋体"/>
          <w:color w:val="000000"/>
        </w:rPr>
        <w:t>知识图谱与事故数据库</w:t>
      </w:r>
    </w:p>
    <w:p>
      <w:r>
        <w:t xml:space="preserve">Kong and Ahn (2024) </w:t>
      </w:r>
      <w:r>
        <w:rPr>
          <w:rFonts w:ascii="宋体" w:hAnsi="宋体" w:eastAsia="宋体"/>
        </w:rPr>
        <w:t>系统综述了施工安全管理知识图谱，并指出研究原型与运营平台之间的差距。</w:t>
      </w:r>
      <w:r>
        <w:t xml:space="preserve">Liu and Luo (2025) </w:t>
      </w:r>
      <w:r>
        <w:rPr>
          <w:rFonts w:ascii="宋体" w:hAnsi="宋体" w:eastAsia="宋体"/>
        </w:rPr>
        <w:t>以迭代</w:t>
      </w:r>
      <w:r>
        <w:t xml:space="preserve"> CoT </w:t>
      </w:r>
      <w:r>
        <w:rPr>
          <w:rFonts w:ascii="宋体" w:hAnsi="宋体" w:eastAsia="宋体"/>
        </w:rPr>
        <w:t>提示生成施工事故知识图谱。</w:t>
      </w:r>
      <w:r>
        <w:t xml:space="preserve">Yang and Park (2025) </w:t>
      </w:r>
      <w:r>
        <w:rPr>
          <w:rFonts w:ascii="宋体" w:hAnsi="宋体" w:eastAsia="宋体"/>
        </w:rPr>
        <w:t>构建了道路事故新闻知识图谱。</w:t>
      </w:r>
      <w:r>
        <w:t xml:space="preserve">Zhang, Wei, et al. (2025b) </w:t>
      </w:r>
      <w:r>
        <w:rPr>
          <w:rFonts w:ascii="宋体" w:hAnsi="宋体" w:eastAsia="宋体"/>
        </w:rPr>
        <w:t>开发了面向流程工业事故知识的图检索增强问答系统</w:t>
      </w:r>
      <w:r>
        <w:t xml:space="preserve"> GRAG-ProSafe</w:t>
      </w:r>
      <w:r>
        <w:t>。</w:t>
      </w:r>
      <w:r>
        <w:t xml:space="preserve">Shi et al. (2025) </w:t>
      </w:r>
      <w:r>
        <w:rPr>
          <w:rFonts w:ascii="宋体" w:hAnsi="宋体" w:eastAsia="宋体"/>
        </w:rPr>
        <w:t>将故障树、贝叶斯网络与本体推理结合用于基坑坍塌分析。</w:t>
      </w:r>
      <w:r>
        <w:t xml:space="preserve">Xiao et al. (2026) </w:t>
      </w:r>
      <w:r>
        <w:rPr>
          <w:rFonts w:ascii="宋体" w:hAnsi="宋体" w:eastAsia="宋体"/>
        </w:rPr>
        <w:t>将知识图谱作为</w:t>
      </w:r>
      <w:r>
        <w:t xml:space="preserve"> LLM </w:t>
      </w:r>
      <w:r>
        <w:rPr>
          <w:rFonts w:ascii="宋体" w:hAnsi="宋体" w:eastAsia="宋体"/>
        </w:rPr>
        <w:t>人因可靠性分析的检索层集成。这些系统各自构建了某种知识产物；本工作的差异在于侧重而非类别</w:t>
      </w:r>
      <w:r>
        <w:t>——</w:t>
      </w:r>
      <w:r>
        <w:rPr>
          <w:rFonts w:ascii="宋体" w:hAnsi="宋体" w:eastAsia="宋体"/>
        </w:rPr>
        <w:t>优先可追溯的分级证据标注与可更新的查询接口，并以测量的边界报告标注的可靠性。</w:t>
      </w:r>
    </w:p>
    <w:p>
      <w:pPr>
        <w:pStyle w:val="Heading1"/>
      </w:pPr>
      <w:r>
        <w:rPr>
          <w:color w:val="000000"/>
          <w:sz w:val="28"/>
        </w:rPr>
        <w:t xml:space="preserve">3. </w:t>
      </w:r>
      <w:r>
        <w:rPr>
          <w:rFonts w:ascii="宋体" w:hAnsi="宋体" w:eastAsia="宋体"/>
          <w:color w:val="000000"/>
          <w:sz w:val="28"/>
        </w:rPr>
        <w:t>系统</w:t>
      </w:r>
    </w:p>
    <w:p>
      <w:pPr>
        <w:pStyle w:val="Heading2"/>
      </w:pPr>
      <w:r>
        <w:rPr>
          <w:color w:val="000000"/>
        </w:rPr>
        <w:t xml:space="preserve">3.1 </w:t>
      </w:r>
      <w:r>
        <w:rPr>
          <w:rFonts w:ascii="宋体" w:hAnsi="宋体" w:eastAsia="宋体"/>
          <w:color w:val="000000"/>
        </w:rPr>
        <w:t>问题形式化与证据分级标注方案</w:t>
      </w:r>
    </w:p>
    <w:p>
      <w:r>
        <w:rPr>
          <w:rFonts w:ascii="宋体" w:hAnsi="宋体" w:eastAsia="宋体"/>
        </w:rPr>
        <w:t>令</w:t>
      </w:r>
      <w:r>
        <w:t xml:space="preserve"> $T = \{t_1, t_2, \dots, t_N\}$ </w:t>
      </w:r>
      <w:r>
        <w:rPr>
          <w:rFonts w:ascii="宋体" w:hAnsi="宋体" w:eastAsia="宋体"/>
        </w:rPr>
        <w:t>表示非结构化事故叙述语料（本语料中位数</w:t>
      </w:r>
      <w:r>
        <w:t xml:space="preserve"> 517 </w:t>
      </w:r>
      <w:r>
        <w:rPr>
          <w:rFonts w:ascii="宋体" w:hAnsi="宋体" w:eastAsia="宋体"/>
        </w:rPr>
        <w:t>字符）。管道将每条</w:t>
      </w:r>
      <w:r>
        <w:t xml:space="preserve"> $t_i$ </w:t>
      </w:r>
      <w:r>
        <w:rPr>
          <w:rFonts w:ascii="宋体" w:hAnsi="宋体" w:eastAsia="宋体"/>
        </w:rPr>
        <w:t>转化为结构化记录</w:t>
      </w:r>
      <w:r>
        <w:t xml:space="preserve"> $r_i = (b_i, c_i)$</w:t>
      </w:r>
      <w:r>
        <w:t>：基础信息向量</w:t>
      </w:r>
      <w:r>
        <w:t xml:space="preserve"> $b_i$ </w:t>
      </w:r>
      <w:r>
        <w:rPr>
          <w:rFonts w:ascii="宋体" w:hAnsi="宋体" w:eastAsia="宋体"/>
        </w:rPr>
        <w:t>覆盖</w:t>
      </w:r>
      <w:r>
        <w:t xml:space="preserve"> 33 </w:t>
      </w:r>
      <w:r>
        <w:rPr>
          <w:rFonts w:ascii="宋体" w:hAnsi="宋体" w:eastAsia="宋体"/>
        </w:rPr>
        <w:t>个预定义字段；致因标注集</w:t>
      </w:r>
      <w:r>
        <w:t xml:space="preserve"> $c_i = \{(x_{ij}, e_{ij}, \iota_{ij}, q_{ij})\}$</w:t>
      </w:r>
      <w:r>
        <w:t>，其中</w:t>
      </w:r>
      <w:r>
        <w:t xml:space="preserve"> $x_{ij}$ </w:t>
      </w:r>
      <w:r>
        <w:rPr>
          <w:rFonts w:ascii="宋体" w:hAnsi="宋体" w:eastAsia="宋体"/>
        </w:rPr>
        <w:t>为</w:t>
      </w:r>
      <w:r>
        <w:t xml:space="preserve"> CAICS </w:t>
      </w:r>
      <w:r>
        <w:rPr>
          <w:rFonts w:ascii="宋体" w:hAnsi="宋体" w:eastAsia="宋体"/>
        </w:rPr>
        <w:t>方案中的致因编码，</w:t>
      </w:r>
      <w:r>
        <w:t xml:space="preserve">$e_{ij}$ </w:t>
      </w:r>
      <w:r>
        <w:rPr>
          <w:rFonts w:ascii="宋体" w:hAnsi="宋体" w:eastAsia="宋体"/>
        </w:rPr>
        <w:t>为支撑文本，</w:t>
      </w:r>
      <w:r>
        <w:t xml:space="preserve">$\iota_{ij}$ </w:t>
      </w:r>
      <w:r>
        <w:rPr>
          <w:rFonts w:ascii="宋体" w:hAnsi="宋体" w:eastAsia="宋体"/>
        </w:rPr>
        <w:t>为推理链，</w:t>
      </w:r>
      <w:r>
        <w:t xml:space="preserve">$q_{ij} \in \{\text{explicit}, \text{inferred}, \text{prior}\}$ </w:t>
      </w:r>
      <w:r>
        <w:rPr>
          <w:rFonts w:ascii="宋体" w:hAnsi="宋体" w:eastAsia="宋体"/>
        </w:rPr>
        <w:t>为证据层级。</w:t>
      </w:r>
    </w:p>
    <w:p>
      <w:r>
        <w:rPr>
          <w:rFonts w:ascii="宋体" w:hAnsi="宋体" w:eastAsia="宋体"/>
        </w:rPr>
        <w:t>三个层级承担不同的认识论承诺，数据库分开存储、分开报告：</w:t>
      </w:r>
    </w:p>
    <w:p>
      <w:pPr>
        <w:pStyle w:val="ListBullet"/>
      </w:pPr>
      <w:r>
        <w:rPr>
          <w:rFonts w:ascii="宋体" w:hAnsi="宋体" w:eastAsia="宋体"/>
          <w:b/>
        </w:rPr>
        <w:t>explicit（逐字证据）</w:t>
      </w:r>
      <w:r>
        <w:t>：原文含直接支撑该编码的表述，</w:t>
      </w:r>
      <w:r>
        <w:t xml:space="preserve">$e_{ij}$ </w:t>
      </w:r>
      <w:r>
        <w:rPr>
          <w:rFonts w:ascii="宋体" w:hAnsi="宋体" w:eastAsia="宋体"/>
        </w:rPr>
        <w:t>为逐字引文。</w:t>
      </w:r>
      <w:r>
        <w:t xml:space="preserve">Web </w:t>
      </w:r>
      <w:r>
        <w:rPr>
          <w:rFonts w:ascii="宋体" w:hAnsi="宋体" w:eastAsia="宋体"/>
        </w:rPr>
        <w:t>界面中仅此类编码呈现为</w:t>
      </w:r>
      <w:r>
        <w:t>"</w:t>
      </w:r>
      <w:r>
        <w:rPr>
          <w:rFonts w:ascii="宋体" w:hAnsi="宋体" w:eastAsia="宋体"/>
        </w:rPr>
        <w:t>有证据支撑</w:t>
      </w:r>
      <w:r>
        <w:t>"</w:t>
      </w:r>
      <w:r>
        <w:t>。</w:t>
      </w:r>
    </w:p>
    <w:p>
      <w:pPr>
        <w:pStyle w:val="ListBullet"/>
      </w:pPr>
      <w:r>
        <w:rPr>
          <w:rFonts w:ascii="宋体" w:hAnsi="宋体" w:eastAsia="宋体"/>
          <w:b/>
        </w:rPr>
        <w:t>inferred（语义归纳）</w:t>
      </w:r>
      <w:r>
        <w:t>：编码由叙述经同义改写归纳得出（如</w:t>
      </w:r>
      <w:r>
        <w:t>"</w:t>
      </w:r>
      <w:r>
        <w:rPr>
          <w:rFonts w:ascii="宋体" w:hAnsi="宋体" w:eastAsia="宋体"/>
        </w:rPr>
        <w:t>安全管理不到位</w:t>
      </w:r>
      <w:r>
        <w:t>"</w:t>
      </w:r>
      <w:r>
        <w:rPr>
          <w:rFonts w:ascii="宋体" w:hAnsi="宋体" w:eastAsia="宋体"/>
        </w:rPr>
        <w:t>在未引用任何固定关键词的情况下支撑</w:t>
      </w:r>
      <w:r>
        <w:t xml:space="preserve"> M1</w:t>
      </w:r>
      <w:r>
        <w:t>）。推理链已记录。</w:t>
      </w:r>
    </w:p>
    <w:p>
      <w:pPr>
        <w:pStyle w:val="ListBullet"/>
      </w:pPr>
      <w:r>
        <w:rPr>
          <w:rFonts w:ascii="宋体" w:hAnsi="宋体" w:eastAsia="宋体"/>
          <w:b/>
        </w:rPr>
        <w:t>prior（领域先验）</w:t>
      </w:r>
      <w:r>
        <w:t>：编码来自提示中授权的领域假设（如亡人事故视为隐含监管缺失，即使文本未提）。此类编码带先验标签展示，并排除在</w:t>
      </w:r>
      <w:r>
        <w:t>"</w:t>
      </w:r>
      <w:r>
        <w:rPr>
          <w:rFonts w:ascii="宋体" w:hAnsi="宋体" w:eastAsia="宋体"/>
        </w:rPr>
        <w:t>有证据支撑</w:t>
      </w:r>
      <w:r>
        <w:t>"</w:t>
      </w:r>
      <w:r>
        <w:rPr>
          <w:rFonts w:ascii="宋体" w:hAnsi="宋体" w:eastAsia="宋体"/>
        </w:rPr>
        <w:t>统计之外。</w:t>
      </w:r>
    </w:p>
    <w:p>
      <w:r>
        <w:rPr>
          <w:rFonts w:ascii="宋体" w:hAnsi="宋体" w:eastAsia="宋体"/>
        </w:rPr>
        <w:t>该方案取代了早期草稿中</w:t>
      </w:r>
      <w:r>
        <w:t>"</w:t>
      </w:r>
      <w:r>
        <w:rPr>
          <w:rFonts w:ascii="宋体" w:hAnsi="宋体" w:eastAsia="宋体"/>
        </w:rPr>
        <w:t>每个编码均带可引用证据、无证据即幻觉</w:t>
      </w:r>
      <w:r>
        <w:t>"</w:t>
      </w:r>
      <w:r>
        <w:rPr>
          <w:rFonts w:ascii="宋体" w:hAnsi="宋体" w:eastAsia="宋体"/>
        </w:rPr>
        <w:t>的更强声明。分层方案才是对生产提示实际行为的准确描述：直接抽取、同义归纳与领域先验推断对下游分析都有用，但混为一谈会把模型先验呈现为经验发现。全库</w:t>
      </w:r>
      <w:r>
        <w:t xml:space="preserve"> 16,323 </w:t>
      </w:r>
      <w:r>
        <w:rPr>
          <w:rFonts w:ascii="宋体" w:hAnsi="宋体" w:eastAsia="宋体"/>
        </w:rPr>
        <w:t>条标注中，</w:t>
      </w:r>
      <w:r>
        <w:t xml:space="preserve">explicit 14,784 </w:t>
      </w:r>
      <w:r>
        <w:rPr>
          <w:rFonts w:ascii="宋体" w:hAnsi="宋体" w:eastAsia="宋体"/>
        </w:rPr>
        <w:t>条（</w:t>
      </w:r>
      <w:r>
        <w:t>90.6%</w:t>
      </w:r>
      <w:r>
        <w:t>）、</w:t>
      </w:r>
      <w:r>
        <w:t xml:space="preserve">inferred 1,117 </w:t>
      </w:r>
      <w:r>
        <w:rPr>
          <w:rFonts w:ascii="宋体" w:hAnsi="宋体" w:eastAsia="宋体"/>
        </w:rPr>
        <w:t>条（</w:t>
      </w:r>
      <w:r>
        <w:t>6.8%</w:t>
      </w:r>
      <w:r>
        <w:t>）、</w:t>
      </w:r>
      <w:r>
        <w:t xml:space="preserve">prior 422 </w:t>
      </w:r>
      <w:r>
        <w:rPr>
          <w:rFonts w:ascii="宋体" w:hAnsi="宋体" w:eastAsia="宋体"/>
        </w:rPr>
        <w:t>条（</w:t>
      </w:r>
      <w:r>
        <w:t>2.6%</w:t>
      </w:r>
      <w:r>
        <w:t>）；本文报告总量，并在相关处给出分层细目。</w:t>
      </w:r>
    </w:p>
    <w:p>
      <w:pPr>
        <w:pStyle w:val="Heading2"/>
      </w:pPr>
      <w:r>
        <w:rPr>
          <w:color w:val="000000"/>
        </w:rPr>
        <w:t xml:space="preserve">3.2 </w:t>
      </w:r>
      <w:r>
        <w:rPr>
          <w:rFonts w:ascii="宋体" w:hAnsi="宋体" w:eastAsia="宋体"/>
          <w:color w:val="000000"/>
        </w:rPr>
        <w:t>数据来源与语料构建</w:t>
      </w:r>
    </w:p>
    <w:p>
      <w:r>
        <w:rPr>
          <w:rFonts w:ascii="宋体" w:hAnsi="宋体" w:eastAsia="宋体"/>
        </w:rPr>
        <w:t>本文报告的每一项结果都受语料内容的约束，而该语料是</w:t>
      </w:r>
      <w:r>
        <w:rPr>
          <w:rFonts w:ascii="宋体" w:hAnsi="宋体" w:eastAsia="宋体"/>
          <w:b/>
        </w:rPr>
        <w:t>汇集</w:t>
      </w:r>
      <w:r>
        <w:rPr>
          <w:rFonts w:ascii="宋体" w:hAnsi="宋体" w:eastAsia="宋体"/>
        </w:rPr>
        <w:t>而成、并非抽样得来。本节说明</w:t>
      </w:r>
      <w:r>
        <w:t xml:space="preserve"> 2,623 </w:t>
      </w:r>
      <w:r>
        <w:rPr>
          <w:rFonts w:ascii="宋体" w:hAnsi="宋体" w:eastAsia="宋体"/>
        </w:rPr>
        <w:t>条记录的来源，以及建模之前对其施加的四项处理</w:t>
      </w:r>
      <w:r>
        <w:t>——</w:t>
      </w:r>
      <w:r>
        <w:rPr>
          <w:rFonts w:ascii="宋体" w:hAnsi="宋体" w:eastAsia="宋体"/>
        </w:rPr>
        <w:t>采集、清洗、相关性筛选与整合。这些流程细化了管道架构的阶段</w:t>
      </w:r>
      <w:r>
        <w:t xml:space="preserve"> 1</w:t>
      </w:r>
      <w:r>
        <w:t>（</w:t>
      </w:r>
      <w:r>
        <w:t xml:space="preserve">3.4 </w:t>
      </w:r>
      <w:r>
        <w:rPr>
          <w:rFonts w:ascii="宋体" w:hAnsi="宋体" w:eastAsia="宋体"/>
        </w:rPr>
        <w:t>节）及其原本仅以一句话概括的预处理。我们不惜篇幅加以说明，是因为在端到端数据工程管道中，输入的性质会传播至每一项下游统计：读者若不了解采集了什么、丢弃了什么，便无从判断第</w:t>
      </w:r>
      <w:r>
        <w:t xml:space="preserve"> 4 </w:t>
      </w:r>
      <w:r>
        <w:rPr>
          <w:rFonts w:ascii="宋体" w:hAnsi="宋体" w:eastAsia="宋体"/>
        </w:rPr>
        <w:t>节的结果。</w:t>
      </w:r>
    </w:p>
    <w:p>
      <w:pPr>
        <w:pStyle w:val="Heading3"/>
      </w:pPr>
      <w:r>
        <w:rPr>
          <w:color w:val="000000"/>
        </w:rPr>
        <w:t xml:space="preserve">3.2.1 </w:t>
      </w:r>
      <w:r>
        <w:rPr>
          <w:rFonts w:ascii="宋体" w:hAnsi="宋体" w:eastAsia="宋体"/>
          <w:color w:val="000000"/>
        </w:rPr>
        <w:t>双轨语料</w:t>
      </w:r>
    </w:p>
    <w:p>
      <w:r>
        <w:rPr>
          <w:rFonts w:ascii="宋体" w:hAnsi="宋体" w:eastAsia="宋体"/>
        </w:rPr>
        <w:t>语料由两条结构不同的采集轨道组成。</w:t>
      </w:r>
      <w:r>
        <w:rPr>
          <w:rFonts w:ascii="宋体" w:hAnsi="宋体" w:eastAsia="宋体"/>
          <w:b/>
        </w:rPr>
        <w:t>网络采集轨</w:t>
      </w:r>
      <w:r>
        <w:rPr>
          <w:rFonts w:ascii="宋体" w:hAnsi="宋体" w:eastAsia="宋体"/>
        </w:rPr>
        <w:t>贡献</w:t>
      </w:r>
      <w:r>
        <w:t xml:space="preserve"> 1,728 </w:t>
      </w:r>
      <w:r>
        <w:rPr>
          <w:rFonts w:ascii="宋体" w:hAnsi="宋体" w:eastAsia="宋体"/>
        </w:rPr>
        <w:t>条记录（</w:t>
      </w:r>
      <w:r>
        <w:t>65.9%</w:t>
      </w:r>
      <w:r>
        <w:t>），由专用爬虫自公开门户检索获得。</w:t>
      </w:r>
      <w:r>
        <w:rPr>
          <w:rFonts w:ascii="宋体" w:hAnsi="宋体" w:eastAsia="宋体"/>
          <w:b/>
        </w:rPr>
        <w:t>文献数字化轨</w:t>
      </w:r>
      <w:r>
        <w:rPr>
          <w:rFonts w:ascii="宋体" w:hAnsi="宋体" w:eastAsia="宋体"/>
        </w:rPr>
        <w:t>贡献</w:t>
      </w:r>
      <w:r>
        <w:t xml:space="preserve"> 895 </w:t>
      </w:r>
      <w:r>
        <w:rPr>
          <w:rFonts w:ascii="宋体" w:hAnsi="宋体" w:eastAsia="宋体"/>
        </w:rPr>
        <w:t>条记录（</w:t>
      </w:r>
      <w:r>
        <w:t>34.1%</w:t>
      </w:r>
      <w:r>
        <w:t>），来自以</w:t>
      </w:r>
      <w:r>
        <w:t xml:space="preserve"> PDF </w:t>
      </w:r>
      <w:r>
        <w:rPr>
          <w:rFonts w:ascii="宋体" w:hAnsi="宋体" w:eastAsia="宋体"/>
        </w:rPr>
        <w:t>形式发行的公开事故汇编。表</w:t>
      </w:r>
      <w:r>
        <w:t xml:space="preserve"> 1 </w:t>
      </w:r>
      <w:r>
        <w:rPr>
          <w:rFonts w:ascii="宋体" w:hAnsi="宋体" w:eastAsia="宋体"/>
        </w:rPr>
        <w:t>报告两条轨道的构成。</w:t>
      </w:r>
    </w:p>
    <w:p>
      <w:r>
        <w:rPr>
          <w:rFonts w:ascii="宋体" w:hAnsi="宋体" w:eastAsia="宋体"/>
          <w:b/>
        </w:rPr>
        <w:t>表 1. 按来源轨道划分的语料构成</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轨道</w:t>
            </w:r>
          </w:p>
        </w:tc>
        <w:tc>
          <w:tcPr>
            <w:tcW w:type="dxa" w:w="1728"/>
          </w:tcPr>
          <w:p>
            <w:r>
              <w:rPr>
                <w:b/>
              </w:rPr>
              <w:t>来源</w:t>
            </w:r>
          </w:p>
        </w:tc>
        <w:tc>
          <w:tcPr>
            <w:tcW w:type="dxa" w:w="1728"/>
          </w:tcPr>
          <w:p>
            <w:r>
              <w:rPr>
                <w:b/>
              </w:rPr>
              <w:t>记录数</w:t>
            </w:r>
          </w:p>
        </w:tc>
        <w:tc>
          <w:tcPr>
            <w:tcW w:type="dxa" w:w="1728"/>
          </w:tcPr>
          <w:p>
            <w:r>
              <w:rPr>
                <w:b/>
              </w:rPr>
              <w:t>占比</w:t>
            </w:r>
          </w:p>
        </w:tc>
        <w:tc>
          <w:tcPr>
            <w:tcW w:type="dxa" w:w="1728"/>
          </w:tcPr>
          <w:p>
            <w:r>
              <w:rPr>
                <w:b/>
              </w:rPr>
              <w:t>事故年代</w:t>
            </w:r>
          </w:p>
        </w:tc>
      </w:tr>
      <w:tr>
        <w:tc>
          <w:tcPr>
            <w:tcW w:type="dxa" w:w="1728"/>
          </w:tcPr>
          <w:p>
            <w:r>
              <w:t>网络采集</w:t>
            </w:r>
          </w:p>
        </w:tc>
        <w:tc>
          <w:tcPr>
            <w:tcW w:type="dxa" w:w="1728"/>
          </w:tcPr>
          <w:p>
            <w:r>
              <w:t>安全管理网（safehoo.com），安全新闻门户</w:t>
            </w:r>
          </w:p>
        </w:tc>
        <w:tc>
          <w:tcPr>
            <w:tcW w:type="dxa" w:w="1728"/>
          </w:tcPr>
          <w:p>
            <w:r>
              <w:t>1,247</w:t>
            </w:r>
          </w:p>
        </w:tc>
        <w:tc>
          <w:tcPr>
            <w:tcW w:type="dxa" w:w="1728"/>
          </w:tcPr>
          <w:p>
            <w:r>
              <w:t>47.5%</w:t>
            </w:r>
          </w:p>
        </w:tc>
        <w:tc>
          <w:tcPr>
            <w:tcW w:type="dxa" w:w="1728"/>
          </w:tcPr>
          <w:p>
            <w:r>
              <w:t>2005–2026</w:t>
            </w:r>
          </w:p>
        </w:tc>
      </w:tr>
      <w:tr>
        <w:tc>
          <w:tcPr>
            <w:tcW w:type="dxa" w:w="1728"/>
          </w:tcPr>
          <w:p>
            <w:r/>
          </w:p>
        </w:tc>
        <w:tc>
          <w:tcPr>
            <w:tcW w:type="dxa" w:w="1728"/>
          </w:tcPr>
          <w:p>
            <w:r>
              <w:t>esafety（esafety.cn），安全行业门户</w:t>
            </w:r>
          </w:p>
        </w:tc>
        <w:tc>
          <w:tcPr>
            <w:tcW w:type="dxa" w:w="1728"/>
          </w:tcPr>
          <w:p>
            <w:r>
              <w:t>389</w:t>
            </w:r>
          </w:p>
        </w:tc>
        <w:tc>
          <w:tcPr>
            <w:tcW w:type="dxa" w:w="1728"/>
          </w:tcPr>
          <w:p>
            <w:r>
              <w:t>14.8%</w:t>
            </w:r>
          </w:p>
        </w:tc>
        <w:tc>
          <w:tcPr>
            <w:tcW w:type="dxa" w:w="1728"/>
          </w:tcPr>
          <w:p>
            <w:r>
              <w:t>2005–2026</w:t>
            </w:r>
          </w:p>
        </w:tc>
      </w:tr>
      <w:tr>
        <w:tc>
          <w:tcPr>
            <w:tcW w:type="dxa" w:w="1728"/>
          </w:tcPr>
          <w:p>
            <w:r/>
          </w:p>
        </w:tc>
        <w:tc>
          <w:tcPr>
            <w:tcW w:type="dxa" w:w="1728"/>
          </w:tcPr>
          <w:p>
            <w:r>
              <w:t>省级应急管理部门（12 个有产出的源）</w:t>
            </w:r>
          </w:p>
        </w:tc>
        <w:tc>
          <w:tcPr>
            <w:tcW w:type="dxa" w:w="1728"/>
          </w:tcPr>
          <w:p>
            <w:r>
              <w:t>89</w:t>
            </w:r>
          </w:p>
        </w:tc>
        <w:tc>
          <w:tcPr>
            <w:tcW w:type="dxa" w:w="1728"/>
          </w:tcPr>
          <w:p>
            <w:r>
              <w:t>3.4%</w:t>
            </w:r>
          </w:p>
        </w:tc>
        <w:tc>
          <w:tcPr>
            <w:tcW w:type="dxa" w:w="1728"/>
          </w:tcPr>
          <w:p>
            <w:r>
              <w:t>2005–2026</w:t>
            </w:r>
          </w:p>
        </w:tc>
      </w:tr>
      <w:tr>
        <w:tc>
          <w:tcPr>
            <w:tcW w:type="dxa" w:w="1728"/>
          </w:tcPr>
          <w:p>
            <w:r/>
          </w:p>
        </w:tc>
        <w:tc>
          <w:tcPr>
            <w:tcW w:type="dxa" w:w="1728"/>
          </w:tcPr>
          <w:p>
            <w:r>
              <w:t>应急管理部（mem.gov.cn）</w:t>
            </w:r>
          </w:p>
        </w:tc>
        <w:tc>
          <w:tcPr>
            <w:tcW w:type="dxa" w:w="1728"/>
          </w:tcPr>
          <w:p>
            <w:r>
              <w:t>3</w:t>
            </w:r>
          </w:p>
        </w:tc>
        <w:tc>
          <w:tcPr>
            <w:tcW w:type="dxa" w:w="1728"/>
          </w:tcPr>
          <w:p>
            <w:r>
              <w:t>0.1%</w:t>
            </w:r>
          </w:p>
        </w:tc>
        <w:tc>
          <w:tcPr>
            <w:tcW w:type="dxa" w:w="1728"/>
          </w:tcPr>
          <w:p>
            <w:r>
              <w:t>2005–2026</w:t>
            </w:r>
          </w:p>
        </w:tc>
      </w:tr>
      <w:tr>
        <w:tc>
          <w:tcPr>
            <w:tcW w:type="dxa" w:w="1728"/>
          </w:tcPr>
          <w:p>
            <w:r/>
          </w:p>
        </w:tc>
        <w:tc>
          <w:tcPr>
            <w:tcW w:type="dxa" w:w="1728"/>
          </w:tcPr>
          <w:p>
            <w:r>
              <w:t>*小计*</w:t>
            </w:r>
          </w:p>
        </w:tc>
        <w:tc>
          <w:tcPr>
            <w:tcW w:type="dxa" w:w="1728"/>
          </w:tcPr>
          <w:p>
            <w:r>
              <w:t>*1,728*</w:t>
            </w:r>
          </w:p>
        </w:tc>
        <w:tc>
          <w:tcPr>
            <w:tcW w:type="dxa" w:w="1728"/>
          </w:tcPr>
          <w:p>
            <w:r>
              <w:t>*65.9%*</w:t>
            </w:r>
          </w:p>
        </w:tc>
        <w:tc>
          <w:tcPr>
            <w:tcW w:type="dxa" w:w="1728"/>
          </w:tcPr>
          <w:p>
            <w:r/>
          </w:p>
        </w:tc>
      </w:tr>
      <w:tr>
        <w:tc>
          <w:tcPr>
            <w:tcW w:type="dxa" w:w="1728"/>
          </w:tcPr>
          <w:p>
            <w:r>
              <w:t>文献数字化</w:t>
            </w:r>
          </w:p>
        </w:tc>
        <w:tc>
          <w:tcPr>
            <w:tcW w:type="dxa" w:w="1728"/>
          </w:tcPr>
          <w:p>
            <w:r>
              <w:t>樊锡仁《建筑施工重大伤亡事故 800 例》</w:t>
            </w:r>
          </w:p>
        </w:tc>
        <w:tc>
          <w:tcPr>
            <w:tcW w:type="dxa" w:w="1728"/>
          </w:tcPr>
          <w:p>
            <w:r>
              <w:t>703</w:t>
            </w:r>
          </w:p>
        </w:tc>
        <w:tc>
          <w:tcPr>
            <w:tcW w:type="dxa" w:w="1728"/>
          </w:tcPr>
          <w:p>
            <w:r>
              <w:t>26.8%</w:t>
            </w:r>
          </w:p>
        </w:tc>
        <w:tc>
          <w:tcPr>
            <w:tcW w:type="dxa" w:w="1728"/>
          </w:tcPr>
          <w:p>
            <w:r>
              <w:t>1978–1990</w:t>
            </w:r>
          </w:p>
        </w:tc>
      </w:tr>
      <w:tr>
        <w:tc>
          <w:tcPr>
            <w:tcW w:type="dxa" w:w="1728"/>
          </w:tcPr>
          <w:p>
            <w:r/>
          </w:p>
        </w:tc>
        <w:tc>
          <w:tcPr>
            <w:tcW w:type="dxa" w:w="1728"/>
          </w:tcPr>
          <w:p>
            <w:r>
              <w:t>住建部事故案例汇编（3 卷）</w:t>
            </w:r>
          </w:p>
        </w:tc>
        <w:tc>
          <w:tcPr>
            <w:tcW w:type="dxa" w:w="1728"/>
          </w:tcPr>
          <w:p>
            <w:r>
              <w:t>192</w:t>
            </w:r>
          </w:p>
        </w:tc>
        <w:tc>
          <w:tcPr>
            <w:tcW w:type="dxa" w:w="1728"/>
          </w:tcPr>
          <w:p>
            <w:r>
              <w:t>7.3%</w:t>
            </w:r>
          </w:p>
        </w:tc>
        <w:tc>
          <w:tcPr>
            <w:tcW w:type="dxa" w:w="1728"/>
          </w:tcPr>
          <w:p>
            <w:r>
              <w:t>2005–2026</w:t>
            </w:r>
          </w:p>
        </w:tc>
      </w:tr>
      <w:tr>
        <w:tc>
          <w:tcPr>
            <w:tcW w:type="dxa" w:w="1728"/>
          </w:tcPr>
          <w:p>
            <w:r/>
          </w:p>
        </w:tc>
        <w:tc>
          <w:tcPr>
            <w:tcW w:type="dxa" w:w="1728"/>
          </w:tcPr>
          <w:p>
            <w:r>
              <w:t>*小计*</w:t>
            </w:r>
          </w:p>
        </w:tc>
        <w:tc>
          <w:tcPr>
            <w:tcW w:type="dxa" w:w="1728"/>
          </w:tcPr>
          <w:p>
            <w:r>
              <w:t>*895*</w:t>
            </w:r>
          </w:p>
        </w:tc>
        <w:tc>
          <w:tcPr>
            <w:tcW w:type="dxa" w:w="1728"/>
          </w:tcPr>
          <w:p>
            <w:r>
              <w:t>*34.1%*</w:t>
            </w:r>
          </w:p>
        </w:tc>
        <w:tc>
          <w:tcPr>
            <w:tcW w:type="dxa" w:w="1728"/>
          </w:tcPr>
          <w:p>
            <w:r/>
          </w:p>
        </w:tc>
      </w:tr>
      <w:tr>
        <w:tc>
          <w:tcPr>
            <w:tcW w:type="dxa" w:w="1728"/>
          </w:tcPr>
          <w:p>
            <w:r>
              <w:t>合计</w:t>
            </w:r>
          </w:p>
        </w:tc>
        <w:tc>
          <w:tcPr>
            <w:tcW w:type="dxa" w:w="1728"/>
          </w:tcPr>
          <w:p>
            <w:r/>
          </w:p>
        </w:tc>
        <w:tc>
          <w:tcPr>
            <w:tcW w:type="dxa" w:w="1728"/>
          </w:tcPr>
          <w:p>
            <w:r>
              <w:t>2,623</w:t>
            </w:r>
          </w:p>
        </w:tc>
        <w:tc>
          <w:tcPr>
            <w:tcW w:type="dxa" w:w="1728"/>
          </w:tcPr>
          <w:p>
            <w:r>
              <w:t>100%</w:t>
            </w:r>
          </w:p>
        </w:tc>
        <w:tc>
          <w:tcPr>
            <w:tcW w:type="dxa" w:w="1728"/>
          </w:tcPr>
          <w:p>
            <w:r/>
          </w:p>
        </w:tc>
      </w:tr>
    </w:tbl>
    <w:p>
      <w:r>
        <w:rPr>
          <w:rFonts w:ascii="宋体" w:hAnsi="宋体" w:eastAsia="宋体"/>
        </w:rPr>
        <w:t>两条轨道不可互换，将其呈现为单一同质来源会曲解数据库。文献数字化轨承载语料的历史纵深：取自樊锡仁汇编的</w:t>
      </w:r>
      <w:r>
        <w:t xml:space="preserve"> 703 </w:t>
      </w:r>
      <w:r>
        <w:rPr>
          <w:rFonts w:ascii="宋体" w:hAnsi="宋体" w:eastAsia="宋体"/>
        </w:rPr>
        <w:t>条记录是</w:t>
      </w:r>
      <w:r>
        <w:t xml:space="preserve"> 1978–1990 </w:t>
      </w:r>
      <w:r>
        <w:rPr>
          <w:rFonts w:ascii="宋体" w:hAnsi="宋体" w:eastAsia="宋体"/>
        </w:rPr>
        <w:t>时间块的唯一来源，无任何网络来源贡献该时期数据。网络轨提供当代记录，包括全部政府调查报告</w:t>
      </w:r>
      <w:r>
        <w:t>——</w:t>
      </w:r>
      <w:r>
        <w:rPr>
          <w:rFonts w:ascii="宋体" w:hAnsi="宋体" w:eastAsia="宋体"/>
        </w:rPr>
        <w:t>这些是语料中最详尽、最权威的文档。两条轨道在行文语体、篇幅与字段完整度上存在系统性差异，因此管道对两者施加相同的抽取与编码提示，但在报告总量统计的同时报告来源构成，并在</w:t>
      </w:r>
      <w:r>
        <w:t xml:space="preserve"> Web </w:t>
      </w:r>
      <w:r>
        <w:rPr>
          <w:rFonts w:ascii="宋体" w:hAnsi="宋体" w:eastAsia="宋体"/>
        </w:rPr>
        <w:t>界面中将来源轨道作为可筛选属性开放。</w:t>
      </w:r>
    </w:p>
    <w:p>
      <w:r>
        <w:rPr>
          <w:rFonts w:ascii="宋体" w:hAnsi="宋体" w:eastAsia="宋体"/>
        </w:rPr>
        <w:t>语料横跨</w:t>
      </w:r>
      <w:r>
        <w:t xml:space="preserve"> 1978 </w:t>
      </w:r>
      <w:r>
        <w:rPr>
          <w:rFonts w:ascii="宋体" w:hAnsi="宋体" w:eastAsia="宋体"/>
        </w:rPr>
        <w:t>至</w:t>
      </w:r>
      <w:r>
        <w:t xml:space="preserve"> 2026 </w:t>
      </w:r>
      <w:r>
        <w:rPr>
          <w:rFonts w:ascii="宋体" w:hAnsi="宋体" w:eastAsia="宋体"/>
        </w:rPr>
        <w:t>年，且存在明显断代。</w:t>
      </w:r>
      <w:r>
        <w:t xml:space="preserve">2,623 </w:t>
      </w:r>
      <w:r>
        <w:rPr>
          <w:rFonts w:ascii="宋体" w:hAnsi="宋体" w:eastAsia="宋体"/>
        </w:rPr>
        <w:t>条记录中，</w:t>
      </w:r>
      <w:r>
        <w:t xml:space="preserve">698 </w:t>
      </w:r>
      <w:r>
        <w:rPr>
          <w:rFonts w:ascii="宋体" w:hAnsi="宋体" w:eastAsia="宋体"/>
        </w:rPr>
        <w:t>条（</w:t>
      </w:r>
      <w:r>
        <w:t>26.6%</w:t>
      </w:r>
      <w:r>
        <w:t>）落在</w:t>
      </w:r>
      <w:r>
        <w:t xml:space="preserve"> 1978–1990 </w:t>
      </w:r>
      <w:r>
        <w:rPr>
          <w:rFonts w:ascii="宋体" w:hAnsi="宋体" w:eastAsia="宋体"/>
        </w:rPr>
        <w:t>年，</w:t>
      </w:r>
      <w:r>
        <w:t xml:space="preserve">1,895 </w:t>
      </w:r>
      <w:r>
        <w:rPr>
          <w:rFonts w:ascii="宋体" w:hAnsi="宋体" w:eastAsia="宋体"/>
        </w:rPr>
        <w:t>条（</w:t>
      </w:r>
      <w:r>
        <w:t>72.2%</w:t>
      </w:r>
      <w:r>
        <w:t>）落在</w:t>
      </w:r>
      <w:r>
        <w:t xml:space="preserve"> 2005–2026 </w:t>
      </w:r>
      <w:r>
        <w:rPr>
          <w:rFonts w:ascii="宋体" w:hAnsi="宋体" w:eastAsia="宋体"/>
        </w:rPr>
        <w:t>年，</w:t>
      </w:r>
      <w:r>
        <w:t xml:space="preserve">30 </w:t>
      </w:r>
      <w:r>
        <w:rPr>
          <w:rFonts w:ascii="宋体" w:hAnsi="宋体" w:eastAsia="宋体"/>
        </w:rPr>
        <w:t>条（</w:t>
      </w:r>
      <w:r>
        <w:t>1.1%</w:t>
      </w:r>
      <w:r>
        <w:t>）无可辨识日期。</w:t>
      </w:r>
      <w:r>
        <w:rPr>
          <w:rFonts w:ascii="宋体" w:hAnsi="宋体" w:eastAsia="宋体"/>
          <w:b/>
        </w:rPr>
        <w:t>1991–2004 年完全缺失。</w:t>
      </w:r>
      <w:r>
        <w:t xml:space="preserve"> </w:t>
      </w:r>
      <w:r>
        <w:rPr>
          <w:rFonts w:ascii="宋体" w:hAnsi="宋体" w:eastAsia="宋体"/>
        </w:rPr>
        <w:t>该断代反映的是数字来源的可得性，而非施工安全本身的断裂：历史汇编覆盖改革开放初期，而事故调查报告的持续性公共网络发布始于</w:t>
      </w:r>
      <w:r>
        <w:t xml:space="preserve"> 2000 </w:t>
      </w:r>
      <w:r>
        <w:rPr>
          <w:rFonts w:ascii="宋体" w:hAnsi="宋体" w:eastAsia="宋体"/>
        </w:rPr>
        <w:t>年代中期。因此由本数据库得出的纵向结论是两个分离时间窗之间的比较，而非连续趋势；我们也不将本语料视为任何总体的代表性样本。</w:t>
      </w:r>
    </w:p>
    <w:p>
      <w:pPr>
        <w:pStyle w:val="Heading3"/>
      </w:pPr>
      <w:r>
        <w:rPr>
          <w:color w:val="000000"/>
        </w:rPr>
        <w:t xml:space="preserve">3.2.2 </w:t>
      </w:r>
      <w:r>
        <w:rPr>
          <w:rFonts w:ascii="宋体" w:hAnsi="宋体" w:eastAsia="宋体"/>
          <w:color w:val="000000"/>
        </w:rPr>
        <w:t>采集方案</w:t>
      </w:r>
    </w:p>
    <w:p>
      <w:r>
        <w:rPr>
          <w:rFonts w:ascii="宋体" w:hAnsi="宋体" w:eastAsia="宋体"/>
          <w:b/>
        </w:rPr>
        <w:t>网络采集轨。</w:t>
      </w:r>
      <w:r>
        <w:t xml:space="preserve"> </w:t>
      </w:r>
      <w:r>
        <w:rPr>
          <w:rFonts w:ascii="宋体" w:hAnsi="宋体" w:eastAsia="宋体"/>
        </w:rPr>
        <w:t>二十五个采集器获取网络部分。每个采集器实现统一接口并注册于中央注册表；具体实现分为四族</w:t>
      </w:r>
      <w:r>
        <w:t>——</w:t>
      </w:r>
      <w:r>
        <w:rPr>
          <w:rFonts w:ascii="宋体" w:hAnsi="宋体" w:eastAsia="宋体"/>
        </w:rPr>
        <w:t>一个搜索引擎聚合器，发出预定义查询并仅接纳域名白名单内的结果；十九个省级应急管理部门采集器，解析</w:t>
      </w:r>
      <w:r>
        <w:t xml:space="preserve"> HTML </w:t>
      </w:r>
      <w:r>
        <w:rPr>
          <w:rFonts w:ascii="宋体" w:hAnsi="宋体" w:eastAsia="宋体"/>
        </w:rPr>
        <w:t>列表页与详情页，并在多数情况下下载、抽取随附的</w:t>
      </w:r>
      <w:r>
        <w:t xml:space="preserve"> PDF </w:t>
      </w:r>
      <w:r>
        <w:rPr>
          <w:rFonts w:ascii="宋体" w:hAnsi="宋体" w:eastAsia="宋体"/>
        </w:rPr>
        <w:t>调查报告；两个国家级采集器（应急管理部与住建部）；以及三个辅助导入器，分别覆盖开放政府数据集、安全新闻专题归档与两个已公开的学术事故数据集。</w:t>
      </w:r>
    </w:p>
    <w:p>
      <w:r>
        <w:t xml:space="preserve">HTTP </w:t>
      </w:r>
      <w:r>
        <w:rPr>
          <w:rFonts w:ascii="宋体" w:hAnsi="宋体" w:eastAsia="宋体"/>
        </w:rPr>
        <w:t>检索在所有采集器中统一使用同一客户端库（</w:t>
      </w:r>
      <w:r>
        <w:t>httpx</w:t>
      </w:r>
      <w:r>
        <w:t>，超时</w:t>
      </w:r>
      <w:r>
        <w:t xml:space="preserve"> 15–60 </w:t>
      </w:r>
      <w:r>
        <w:rPr>
          <w:rFonts w:ascii="宋体" w:hAnsi="宋体" w:eastAsia="宋体"/>
        </w:rPr>
        <w:t>秒）。</w:t>
      </w:r>
      <w:r>
        <w:t xml:space="preserve">HTML </w:t>
      </w:r>
      <w:r>
        <w:rPr>
          <w:rFonts w:ascii="宋体" w:hAnsi="宋体" w:eastAsia="宋体"/>
        </w:rPr>
        <w:t>以</w:t>
      </w:r>
      <w:r>
        <w:t xml:space="preserve"> BeautifulSoup </w:t>
      </w:r>
      <w:r>
        <w:rPr>
          <w:rFonts w:ascii="宋体" w:hAnsi="宋体" w:eastAsia="宋体"/>
        </w:rPr>
        <w:t>解析，依据来源标记选用</w:t>
      </w:r>
      <w:r>
        <w:t xml:space="preserve"> lxml </w:t>
      </w:r>
      <w:r>
        <w:rPr>
          <w:rFonts w:ascii="宋体" w:hAnsi="宋体" w:eastAsia="宋体"/>
        </w:rPr>
        <w:t>或标准库解析器。正文抽取优先使用</w:t>
      </w:r>
      <w:r>
        <w:t xml:space="preserve"> trafilatura</w:t>
      </w:r>
      <w:r>
        <w:t>（在页面结构允许时），回退至移除</w:t>
      </w:r>
      <w:r>
        <w:t xml:space="preserve"> script</w:t>
      </w:r>
      <w:r>
        <w:t>、</w:t>
      </w:r>
      <w:r>
        <w:t>style</w:t>
      </w:r>
      <w:r>
        <w:t>、导航、页脚与表单元素的</w:t>
      </w:r>
      <w:r>
        <w:t xml:space="preserve"> BeautifulSoup </w:t>
      </w:r>
      <w:r>
        <w:rPr>
          <w:rFonts w:ascii="宋体" w:hAnsi="宋体" w:eastAsia="宋体"/>
        </w:rPr>
        <w:t>流程，再回退至去标签并反转义实体。随附</w:t>
      </w:r>
      <w:r>
        <w:t xml:space="preserve"> PDF </w:t>
      </w:r>
      <w:r>
        <w:rPr>
          <w:rFonts w:ascii="宋体" w:hAnsi="宋体" w:eastAsia="宋体"/>
        </w:rPr>
        <w:t>在存在文本层时以</w:t>
      </w:r>
      <w:r>
        <w:t xml:space="preserve"> PyMuPDF </w:t>
      </w:r>
      <w:r>
        <w:rPr>
          <w:rFonts w:ascii="宋体" w:hAnsi="宋体" w:eastAsia="宋体"/>
        </w:rPr>
        <w:t>抽取，不存在时转交具备</w:t>
      </w:r>
      <w:r>
        <w:t xml:space="preserve"> OCR </w:t>
      </w:r>
      <w:r>
        <w:rPr>
          <w:rFonts w:ascii="宋体" w:hAnsi="宋体" w:eastAsia="宋体"/>
        </w:rPr>
        <w:t>能力的文档解析服务。</w:t>
      </w:r>
    </w:p>
    <w:p>
      <w:r>
        <w:rPr>
          <w:rFonts w:ascii="宋体" w:hAnsi="宋体" w:eastAsia="宋体"/>
        </w:rPr>
        <w:t>查询构造结合两种机制。聚合器发出</w:t>
      </w:r>
      <w:r>
        <w:t xml:space="preserve"> 17 </w:t>
      </w:r>
      <w:r>
        <w:rPr>
          <w:rFonts w:ascii="宋体" w:hAnsi="宋体" w:eastAsia="宋体"/>
        </w:rPr>
        <w:t>条预定义查询模板，覆盖坍塌、高处坠落、起重、基坑、脚手架、触电、火灾、中毒、物体打击与机械等情形，并附部委级报告查询；逐条记录的搜索增强（</w:t>
      </w:r>
      <w:r>
        <w:t xml:space="preserve">3.4 </w:t>
      </w:r>
      <w:r>
        <w:rPr>
          <w:rFonts w:ascii="宋体" w:hAnsi="宋体" w:eastAsia="宋体"/>
        </w:rPr>
        <w:t>节）随后根据事故自身的地名与关键词再生成至多三条查询。检索结果的接纳限定于</w:t>
      </w:r>
      <w:r>
        <w:t xml:space="preserve"> 15 </w:t>
      </w:r>
      <w:r>
        <w:rPr>
          <w:rFonts w:ascii="宋体" w:hAnsi="宋体" w:eastAsia="宋体"/>
        </w:rPr>
        <w:t>个新闻域名白名单，外加任意</w:t>
      </w:r>
      <w:r>
        <w:t xml:space="preserve"> `gov.cn` </w:t>
      </w:r>
      <w:r>
        <w:rPr>
          <w:rFonts w:ascii="宋体" w:hAnsi="宋体" w:eastAsia="宋体"/>
        </w:rPr>
        <w:t>主机，从而使命中检索的资料与定向采集器处于同一来源总体之内。</w:t>
      </w:r>
    </w:p>
    <w:p>
      <w:r>
        <w:rPr>
          <w:rFonts w:ascii="宋体" w:hAnsi="宋体" w:eastAsia="宋体"/>
        </w:rPr>
        <w:t>礼貌性与稳健性措施刻意保持常规：固定的桌面浏览器</w:t>
      </w:r>
      <w:r>
        <w:t xml:space="preserve"> User-Agent</w:t>
      </w:r>
      <w:r>
        <w:t>、完整的请求头（含语言偏好，检索类请求另附</w:t>
      </w:r>
      <w:r>
        <w:t xml:space="preserve"> referer</w:t>
      </w:r>
      <w:r>
        <w:t>）、每个采集器</w:t>
      </w:r>
      <w:r>
        <w:t xml:space="preserve"> 1–5 </w:t>
      </w:r>
      <w:r>
        <w:rPr>
          <w:rFonts w:ascii="宋体" w:hAnsi="宋体" w:eastAsia="宋体"/>
        </w:rPr>
        <w:t>秒的串行请求间隔、每个</w:t>
      </w:r>
      <w:r>
        <w:t xml:space="preserve"> URL </w:t>
      </w:r>
      <w:r>
        <w:rPr>
          <w:rFonts w:ascii="宋体" w:hAnsi="宋体" w:eastAsia="宋体"/>
        </w:rPr>
        <w:t>三次尝试并配两秒退避。</w:t>
      </w:r>
      <w:r>
        <w:rPr>
          <w:rFonts w:ascii="宋体" w:hAnsi="宋体" w:eastAsia="宋体"/>
          <w:b/>
        </w:rPr>
        <w:t>我们未实现代理轮换、User-Agent 轮换、JavaScript 渲染或验证码处理，采集完全串行而非分布式。</w:t>
      </w:r>
      <w:r>
        <w:t xml:space="preserve"> </w:t>
      </w:r>
      <w:r>
        <w:rPr>
          <w:rFonts w:ascii="宋体" w:hAnsi="宋体" w:eastAsia="宋体"/>
        </w:rPr>
        <w:t>我们明确说明这一点，因为它同时界定了采集速率与当前语料的可扩展边界：需要会话保持或动态渲染的来源落在本方案之外，仅在其报告被接纳站点转载的范围内有所体现。</w:t>
      </w:r>
    </w:p>
    <w:p>
      <w:r>
        <w:rPr>
          <w:rFonts w:ascii="宋体" w:hAnsi="宋体" w:eastAsia="宋体"/>
          <w:b/>
        </w:rPr>
        <w:t>文献数字化轨。</w:t>
      </w:r>
      <w:r>
        <w:t xml:space="preserve"> </w:t>
      </w:r>
      <w:r>
        <w:rPr>
          <w:rFonts w:ascii="宋体" w:hAnsi="宋体" w:eastAsia="宋体"/>
        </w:rPr>
        <w:t>每卷先转换为文本（抽取既有文本层，扫描卷则经</w:t>
      </w:r>
      <w:r>
        <w:t xml:space="preserve"> OCR </w:t>
      </w:r>
      <w:r>
        <w:rPr>
          <w:rFonts w:ascii="宋体" w:hAnsi="宋体" w:eastAsia="宋体"/>
        </w:rPr>
        <w:t>文档解析），随后切分为独立案例。切分提供两种程序：基于规则的切分器锚定此类汇编使用的结构性标题惯例；基于</w:t>
      </w:r>
      <w:r>
        <w:t xml:space="preserve"> LLM </w:t>
      </w:r>
      <w:r>
        <w:rPr>
          <w:rFonts w:ascii="宋体" w:hAnsi="宋体" w:eastAsia="宋体"/>
        </w:rPr>
        <w:t>的切分器返回每个案例的起止标记，随后以字符串检索</w:t>
      </w:r>
      <w:r>
        <w:rPr>
          <w:rFonts w:ascii="宋体" w:hAnsi="宋体" w:eastAsia="宋体"/>
          <w:b/>
        </w:rPr>
        <w:t>程序化</w:t>
      </w:r>
      <w:r>
        <w:rPr>
          <w:rFonts w:ascii="宋体" w:hAnsi="宋体" w:eastAsia="宋体"/>
        </w:rPr>
        <w:t>切分，而非接受模型生成的字符偏移量</w:t>
      </w:r>
      <w:r>
        <w:t>——</w:t>
      </w:r>
      <w:r>
        <w:rPr>
          <w:rFonts w:ascii="宋体" w:hAnsi="宋体" w:eastAsia="宋体"/>
        </w:rPr>
        <w:t>因此所得跨度可精确回溯至源文档并可供审计。低于最小长度（</w:t>
      </w:r>
      <w:r>
        <w:t xml:space="preserve">50–100 </w:t>
      </w:r>
      <w:r>
        <w:rPr>
          <w:rFonts w:ascii="宋体" w:hAnsi="宋体" w:eastAsia="宋体"/>
        </w:rPr>
        <w:t>字符，视切分器而定）的片段被丢弃。每条保留案例随后进入与网络记录相同的清洗、筛选与编码通路，两条轨道因而在任何信息抽取发生之前即已汇合。</w:t>
      </w:r>
    </w:p>
    <w:p>
      <w:pPr>
        <w:pStyle w:val="Heading3"/>
      </w:pPr>
      <w:r>
        <w:rPr>
          <w:color w:val="000000"/>
        </w:rPr>
        <w:t xml:space="preserve">3.2.3 </w:t>
      </w:r>
      <w:r>
        <w:rPr>
          <w:rFonts w:ascii="宋体" w:hAnsi="宋体" w:eastAsia="宋体"/>
          <w:color w:val="000000"/>
        </w:rPr>
        <w:t>清洗、规范化与规则预抽取</w:t>
      </w:r>
    </w:p>
    <w:p>
      <w:r>
        <w:rPr>
          <w:rFonts w:ascii="宋体" w:hAnsi="宋体" w:eastAsia="宋体"/>
        </w:rPr>
        <w:t>清洗与大部分字段抽取由确定性规则完成，而非模型调用。三个组件依次作用于每条候选记录。</w:t>
      </w:r>
    </w:p>
    <w:p>
      <w:r>
        <w:rPr>
          <w:rFonts w:ascii="宋体" w:hAnsi="宋体" w:eastAsia="宋体"/>
        </w:rPr>
        <w:t>文本清洗器去除模板化内容与渲染残留。十条正则模式剥离反复出现的站点装饰</w:t>
      </w:r>
      <w:r>
        <w:t>——</w:t>
      </w:r>
      <w:r>
        <w:rPr>
          <w:rFonts w:ascii="宋体" w:hAnsi="宋体" w:eastAsia="宋体"/>
        </w:rPr>
        <w:t>版权声明、</w:t>
      </w:r>
      <w:r>
        <w:t xml:space="preserve">ICP </w:t>
      </w:r>
      <w:r>
        <w:rPr>
          <w:rFonts w:ascii="宋体" w:hAnsi="宋体" w:eastAsia="宋体"/>
        </w:rPr>
        <w:t>备案号、技术支持行、主办单位行、浏览器兼容提示、免责声明与隐私政策</w:t>
      </w:r>
      <w:r>
        <w:t>——</w:t>
      </w:r>
      <w:r>
        <w:rPr>
          <w:rFonts w:ascii="宋体" w:hAnsi="宋体" w:eastAsia="宋体"/>
        </w:rPr>
        <w:t>并删除八个零宽或不可见码点。</w:t>
      </w:r>
      <w:r>
        <w:t xml:space="preserve">HTML </w:t>
      </w:r>
      <w:r>
        <w:rPr>
          <w:rFonts w:ascii="宋体" w:hAnsi="宋体" w:eastAsia="宋体"/>
        </w:rPr>
        <w:t>实体被反转义，文本归一化为</w:t>
      </w:r>
      <w:r>
        <w:t xml:space="preserve"> NFKC</w:t>
      </w:r>
      <w:r>
        <w:t>（将全角形式折叠为半角）；连续空白折叠，两个以上连续换行被压缩。长度不足四字符且不含数字的行被丢弃</w:t>
      </w:r>
      <w:r>
        <w:t>——</w:t>
      </w:r>
      <w:r>
        <w:rPr>
          <w:rFonts w:ascii="宋体" w:hAnsi="宋体" w:eastAsia="宋体"/>
        </w:rPr>
        <w:t>该过滤剔除零散标题，同时保留承载伤亡数字的短行。超过</w:t>
      </w:r>
      <w:r>
        <w:t xml:space="preserve"> 50,000 </w:t>
      </w:r>
      <w:r>
        <w:rPr>
          <w:rFonts w:ascii="宋体" w:hAnsi="宋体" w:eastAsia="宋体"/>
        </w:rPr>
        <w:t>字符的文档被截断并保留前段，因为事故叙述通常在前部即陈述要点。清洗器对网络文本与数字化案例文本施加完全相同的处理。</w:t>
      </w:r>
    </w:p>
    <w:p>
      <w:r>
        <w:rPr>
          <w:rFonts w:ascii="宋体" w:hAnsi="宋体" w:eastAsia="宋体"/>
        </w:rPr>
        <w:t>规则字段抽取器随后对每条清洗后文本施加有序正则模式，覆盖八个字段组</w:t>
      </w:r>
      <w:r>
        <w:t>——</w:t>
      </w:r>
      <w:r>
        <w:rPr>
          <w:rFonts w:ascii="宋体" w:hAnsi="宋体" w:eastAsia="宋体"/>
        </w:rPr>
        <w:t>日期、地点、伤亡、事故类型、等级、直接经济损失、施工单位与项目名称。模式按特异性排序并携带优先级权重；例如完整日期（</w:t>
      </w:r>
      <w:r>
        <w:t>`YYYY</w:t>
      </w:r>
      <w:r>
        <w:rPr>
          <w:rFonts w:ascii="宋体" w:hAnsi="宋体" w:eastAsia="宋体"/>
        </w:rPr>
        <w:t>年</w:t>
      </w:r>
      <w:r>
        <w:t>M</w:t>
      </w:r>
      <w:r>
        <w:rPr>
          <w:rFonts w:ascii="宋体" w:hAnsi="宋体" w:eastAsia="宋体"/>
        </w:rPr>
        <w:t>月</w:t>
      </w:r>
      <w:r>
        <w:t>D</w:t>
      </w:r>
      <w:r>
        <w:rPr>
          <w:rFonts w:ascii="宋体" w:hAnsi="宋体" w:eastAsia="宋体"/>
        </w:rPr>
        <w:t>日</w:t>
      </w:r>
      <w:r>
        <w:t>`</w:t>
      </w:r>
      <w:r>
        <w:t>）优先于年月形式，年月形式又优先于依上下文回溯的月日形式。每个抽取值都通过合理性检查（年份在</w:t>
      </w:r>
      <w:r>
        <w:t xml:space="preserve"> 2000–2030 </w:t>
      </w:r>
      <w:r>
        <w:rPr>
          <w:rFonts w:ascii="宋体" w:hAnsi="宋体" w:eastAsia="宋体"/>
        </w:rPr>
        <w:t>之间、死亡人数低于</w:t>
      </w:r>
      <w:r>
        <w:t xml:space="preserve"> 200</w:t>
      </w:r>
      <w:r>
        <w:t>、受伤人数低于</w:t>
      </w:r>
      <w:r>
        <w:t xml:space="preserve"> 500</w:t>
      </w:r>
      <w:r>
        <w:t>）。加权置信度综合日期、城市、事故类型与死亡人数的命中情况，并对每多回收一个字段给予小幅加成。</w:t>
      </w:r>
    </w:p>
    <w:p>
      <w:r>
        <w:rPr>
          <w:rFonts w:ascii="宋体" w:hAnsi="宋体" w:eastAsia="宋体"/>
        </w:rPr>
        <w:t>规范化器将抽取值与自由文本值映射至受控词表：事故类型映射至十二类之一；等级映射至中国事故法规规定的四档</w:t>
      </w:r>
      <w:r>
        <w:t>——</w:t>
      </w:r>
      <w:r>
        <w:rPr>
          <w:rFonts w:ascii="宋体" w:hAnsi="宋体" w:eastAsia="宋体"/>
        </w:rPr>
        <w:t>一般、较大、重大、特别重大，以</w:t>
      </w:r>
      <w:r>
        <w:t xml:space="preserve"> 3</w:t>
      </w:r>
      <w:r>
        <w:t>、</w:t>
      </w:r>
      <w:r>
        <w:t>10</w:t>
      </w:r>
      <w:r>
        <w:t>、</w:t>
      </w:r>
      <w:r>
        <w:t xml:space="preserve">30 </w:t>
      </w:r>
      <w:r>
        <w:rPr>
          <w:rFonts w:ascii="宋体" w:hAnsi="宋体" w:eastAsia="宋体"/>
        </w:rPr>
        <w:t>人死亡为阈值</w:t>
      </w:r>
      <w:r>
        <w:t>——</w:t>
      </w:r>
      <w:r>
        <w:rPr>
          <w:rFonts w:ascii="宋体" w:hAnsi="宋体" w:eastAsia="宋体"/>
        </w:rPr>
        <w:t>且文本中明示的等级词优先于推断档位；省市映射至规范行政区名，依据一份逾九十条的城市</w:t>
      </w:r>
      <w:r>
        <w:t>-</w:t>
      </w:r>
      <w:r>
        <w:rPr>
          <w:rFonts w:ascii="宋体" w:hAnsi="宋体" w:eastAsia="宋体"/>
        </w:rPr>
        <w:t>省份对照表；日期映射至</w:t>
      </w:r>
      <w:r>
        <w:t xml:space="preserve"> ISO </w:t>
      </w:r>
      <w:r>
        <w:rPr>
          <w:rFonts w:ascii="宋体" w:hAnsi="宋体" w:eastAsia="宋体"/>
        </w:rPr>
        <w:t>格式，中文数字表述转换为整数。</w:t>
      </w:r>
    </w:p>
    <w:p>
      <w:r>
        <w:rPr>
          <w:rFonts w:ascii="宋体" w:hAnsi="宋体" w:eastAsia="宋体"/>
        </w:rPr>
        <w:t>该层的经济考量是显式的。由于它确定性执行且不产生</w:t>
      </w:r>
      <w:r>
        <w:t xml:space="preserve"> API </w:t>
      </w:r>
      <w:r>
        <w:rPr>
          <w:rFonts w:ascii="宋体" w:hAnsi="宋体" w:eastAsia="宋体"/>
        </w:rPr>
        <w:t>成本，它对每条记录无条件运行，其置信度输出决定后续动作：置信度低于</w:t>
      </w:r>
      <w:r>
        <w:t xml:space="preserve"> 0.7</w:t>
      </w:r>
      <w:r>
        <w:t>、或缺失四个关键字段中三个以上的记录被标记为待增强，其余记录则以规则值直接推进。该设计使多数字段级取值独立于任何模型，这也正是</w:t>
      </w:r>
      <w:r>
        <w:t xml:space="preserve"> 4.3 </w:t>
      </w:r>
      <w:r>
        <w:rPr>
          <w:rFonts w:ascii="宋体" w:hAnsi="宋体" w:eastAsia="宋体"/>
        </w:rPr>
        <w:t>节得以将规则导出字段与模型导出字段同独立标注者比对的前提。</w:t>
      </w:r>
    </w:p>
    <w:p>
      <w:pPr>
        <w:pStyle w:val="Heading3"/>
      </w:pPr>
      <w:r>
        <w:rPr>
          <w:color w:val="000000"/>
        </w:rPr>
        <w:t xml:space="preserve">3.2.4 </w:t>
      </w:r>
      <w:r>
        <w:rPr>
          <w:rFonts w:ascii="宋体" w:hAnsi="宋体" w:eastAsia="宋体"/>
          <w:color w:val="000000"/>
        </w:rPr>
        <w:t>相关性筛选与去重</w:t>
      </w:r>
    </w:p>
    <w:p>
      <w:r>
        <w:rPr>
          <w:rFonts w:ascii="宋体" w:hAnsi="宋体" w:eastAsia="宋体"/>
          <w:b/>
        </w:rPr>
        <w:t>相关性筛选。</w:t>
      </w:r>
      <w:r>
        <w:t xml:space="preserve"> </w:t>
      </w:r>
      <w:r>
        <w:rPr>
          <w:rFonts w:ascii="宋体" w:hAnsi="宋体" w:eastAsia="宋体"/>
        </w:rPr>
        <w:t>并非每个采集到的页面都涉及施工事故；门户同时刊载监管通知、培训公告以及采矿、化工与运输行业的工业事故。筛选分两道闸门，后者与管道阶段一并说明。</w:t>
      </w:r>
    </w:p>
    <w:p>
      <w:r>
        <w:rPr>
          <w:rFonts w:ascii="宋体" w:hAnsi="宋体" w:eastAsia="宋体"/>
        </w:rPr>
        <w:t>第一道闸门作用于标题。</w:t>
      </w:r>
      <w:r>
        <w:t xml:space="preserve">26 </w:t>
      </w:r>
      <w:r>
        <w:rPr>
          <w:rFonts w:ascii="宋体" w:hAnsi="宋体" w:eastAsia="宋体"/>
        </w:rPr>
        <w:t>个施工关键词</w:t>
      </w:r>
      <w:r>
        <w:t>——</w:t>
      </w:r>
      <w:r>
        <w:rPr>
          <w:rFonts w:ascii="宋体" w:hAnsi="宋体" w:eastAsia="宋体"/>
        </w:rPr>
        <w:t>覆盖建筑、市政、拆除、脚手架、塔吊、基坑、模板及标准事故类型术语</w:t>
      </w:r>
      <w:r>
        <w:t>——</w:t>
      </w:r>
      <w:r>
        <w:rPr>
          <w:rFonts w:ascii="宋体" w:hAnsi="宋体" w:eastAsia="宋体"/>
        </w:rPr>
        <w:t>命中任一即放行；八条否决模式直接剔除行政文件（挂牌督办、暂行办法、管理办法、实施细则、培训班，以及事故报告条例本身）。该闸门刻意宽松：其目的是廉价地丢弃明显的非事故内容，而非裁决边界案例。</w:t>
      </w:r>
    </w:p>
    <w:p>
      <w:r>
        <w:rPr>
          <w:rFonts w:ascii="宋体" w:hAnsi="宋体" w:eastAsia="宋体"/>
        </w:rPr>
        <w:t>通过标题闸门的记录进入规则分类器，该分类器对标题与正文开头评分四张信号词表。第一张列出约三十个几乎只出现在施工场景的术语（塔式起重机、施工升降机、基坑工程、模板支撑、混凝土浇筑、钢筋绑扎、土方开挖、桩基）。第二张列出约二十八个同时也出现在工业场景的施工术语（施工现场、建筑工程、脚手架、高处作业、拆除工程）。第三张列出约五十个工业与采掘术语（矿业、钢铁、水泥、化工、纺织、电力）。第四张列出约二十个否决术语（道路交通、高速公路、列车脱轨、煤矿瓦斯、渔船、防汛、危险化学品）。七条有序规则随后组合这些信号：命中施工特定词即便出现工业公司也放行；工业公司且施工信号少于三个则否决；非工业公司且施工信号达到两个以上则放行；仅命中一个施工信号则标记为低置信度并转交后续而非径行裁决。分类器返回带</w:t>
      </w:r>
      <w:r>
        <w:t xml:space="preserve"> </w:t>
      </w:r>
      <w:r>
        <w:rPr>
          <w:i/>
        </w:rPr>
        <w:t>high</w:t>
      </w:r>
      <w:r>
        <w:t xml:space="preserve"> </w:t>
      </w:r>
      <w:r>
        <w:rPr>
          <w:rFonts w:ascii="宋体" w:hAnsi="宋体" w:eastAsia="宋体"/>
        </w:rPr>
        <w:t>或</w:t>
      </w:r>
      <w:r>
        <w:t xml:space="preserve"> </w:t>
      </w:r>
      <w:r>
        <w:rPr>
          <w:i/>
        </w:rPr>
        <w:t>low</w:t>
      </w:r>
      <w:r>
        <w:t xml:space="preserve"> </w:t>
      </w:r>
      <w:r>
        <w:rPr>
          <w:rFonts w:ascii="宋体" w:hAnsi="宋体" w:eastAsia="宋体"/>
        </w:rPr>
        <w:t>置信度的二值判断；仅高置信判断为最终结果。</w:t>
      </w:r>
    </w:p>
    <w:p>
      <w:r>
        <w:rPr>
          <w:rFonts w:ascii="宋体" w:hAnsi="宋体" w:eastAsia="宋体"/>
          <w:b/>
        </w:rPr>
        <w:t>去重。</w:t>
      </w:r>
      <w:r>
        <w:t xml:space="preserve"> </w:t>
      </w:r>
      <w:r>
        <w:rPr>
          <w:rFonts w:ascii="宋体" w:hAnsi="宋体" w:eastAsia="宋体"/>
        </w:rPr>
        <w:t>同一起事故在中国新闻门户间被转载、镜像报道十分常见，因此记录的来源并不构成其唯一性的证据。管道施加四层递进程序，由廉价且精确者向昂贵且近似者排序。第</w:t>
      </w:r>
      <w:r>
        <w:t xml:space="preserve"> 1 </w:t>
      </w:r>
      <w:r>
        <w:rPr>
          <w:rFonts w:ascii="宋体" w:hAnsi="宋体" w:eastAsia="宋体"/>
        </w:rPr>
        <w:t>层比对</w:t>
      </w:r>
      <w:r>
        <w:t xml:space="preserve"> URL </w:t>
      </w:r>
      <w:r>
        <w:rPr>
          <w:rFonts w:ascii="宋体" w:hAnsi="宋体" w:eastAsia="宋体"/>
        </w:rPr>
        <w:t>身份，使用去除协议前缀、</w:t>
      </w:r>
      <w:r>
        <w:t>`www`</w:t>
      </w:r>
      <w:r>
        <w:t>、末尾斜杠与片段后的</w:t>
      </w:r>
      <w:r>
        <w:t xml:space="preserve"> URL </w:t>
      </w:r>
      <w:r>
        <w:rPr>
          <w:rFonts w:ascii="宋体" w:hAnsi="宋体" w:eastAsia="宋体"/>
        </w:rPr>
        <w:t>哈希。第</w:t>
      </w:r>
      <w:r>
        <w:t xml:space="preserve"> 2 </w:t>
      </w:r>
      <w:r>
        <w:rPr>
          <w:rFonts w:ascii="宋体" w:hAnsi="宋体" w:eastAsia="宋体"/>
        </w:rPr>
        <w:t>层比对结构化指纹，由年月、城市、死亡人数、受伤人数与事故类型组装并哈希为十二位十六进制字符；由于指纹使用年月而非完整日期，它容忍门户转载调查报告时出现的数日发布日差异。第</w:t>
      </w:r>
      <w:r>
        <w:t xml:space="preserve"> 3 </w:t>
      </w:r>
      <w:r>
        <w:rPr>
          <w:rFonts w:ascii="宋体" w:hAnsi="宋体" w:eastAsia="宋体"/>
        </w:rPr>
        <w:t>层比对标题语义，以中文句向量模型编码标题并对余弦相似度达到</w:t>
      </w:r>
      <w:r>
        <w:t xml:space="preserve"> 0.85 </w:t>
      </w:r>
      <w:r>
        <w:rPr>
          <w:rFonts w:ascii="宋体" w:hAnsi="宋体" w:eastAsia="宋体"/>
        </w:rPr>
        <w:t>的配对予以标记；候选集限定于以月份与省份为键的时空桶内，从而使比对量不随语料规模增长。当句向量模型不可用时，改以阈值</w:t>
      </w:r>
      <w:r>
        <w:t xml:space="preserve"> 0.80 </w:t>
      </w:r>
      <w:r>
        <w:rPr>
          <w:rFonts w:ascii="宋体" w:hAnsi="宋体" w:eastAsia="宋体"/>
        </w:rPr>
        <w:t>的编辑距离比替代。第</w:t>
      </w:r>
      <w:r>
        <w:t xml:space="preserve"> 4 </w:t>
      </w:r>
      <w:r>
        <w:rPr>
          <w:rFonts w:ascii="宋体" w:hAnsi="宋体" w:eastAsia="宋体"/>
        </w:rPr>
        <w:t>层独立于标题措辞交叉校验四项事实</w:t>
      </w:r>
      <w:r>
        <w:t>——</w:t>
      </w:r>
      <w:r>
        <w:rPr>
          <w:rFonts w:ascii="宋体" w:hAnsi="宋体" w:eastAsia="宋体"/>
        </w:rPr>
        <w:t>日期邻近性、城市同一性、伤亡吻合度与事故类型吻合度</w:t>
      </w:r>
      <w:r>
        <w:t>——</w:t>
      </w:r>
      <w:r>
        <w:rPr>
          <w:rFonts w:ascii="宋体" w:hAnsi="宋体" w:eastAsia="宋体"/>
        </w:rPr>
        <w:t>并要求至少两项检查通过且归一化吻合度高于</w:t>
      </w:r>
      <w:r>
        <w:t xml:space="preserve"> 0.75</w:t>
      </w:r>
      <w:r>
        <w:t>。</w:t>
      </w:r>
    </w:p>
    <w:p>
      <w:r>
        <w:rPr>
          <w:rFonts w:ascii="宋体" w:hAnsi="宋体" w:eastAsia="宋体"/>
        </w:rPr>
        <w:t>设计意图是由精确层与结构层拦截绝大多数重复，仅真正歧义的案例进入语义层。检出去重时，管道并不丢弃新到的记录，而是</w:t>
      </w:r>
      <w:r>
        <w:rPr>
          <w:rFonts w:ascii="宋体" w:hAnsi="宋体" w:eastAsia="宋体"/>
          <w:b/>
        </w:rPr>
        <w:t>合并</w:t>
      </w:r>
      <w:r>
        <w:t>：新来源</w:t>
      </w:r>
      <w:r>
        <w:t xml:space="preserve"> URL </w:t>
      </w:r>
      <w:r>
        <w:rPr>
          <w:rFonts w:ascii="宋体" w:hAnsi="宋体" w:eastAsia="宋体"/>
        </w:rPr>
        <w:t>追加至既有记录，来源计数递增，既有记录缺失的字段由新记录补全。数据库中有</w:t>
      </w:r>
      <w:r>
        <w:t xml:space="preserve"> 45 </w:t>
      </w:r>
      <w:r>
        <w:rPr>
          <w:rFonts w:ascii="宋体" w:hAnsi="宋体" w:eastAsia="宋体"/>
        </w:rPr>
        <w:t>条记录携带一个以上的来源</w:t>
      </w:r>
      <w:r>
        <w:t xml:space="preserve"> URL</w:t>
      </w:r>
      <w:r>
        <w:t>，合并后的集合通过界面开放，因此用户可以看到某项发现依托于、或得到不止一份刊物的印证。</w:t>
      </w:r>
    </w:p>
    <w:p>
      <w:r>
        <w:rPr>
          <w:rFonts w:ascii="宋体" w:hAnsi="宋体" w:eastAsia="宋体"/>
          <w:b/>
        </w:rPr>
        <w:t>整合。</w:t>
      </w:r>
      <w:r>
        <w:t xml:space="preserve"> </w:t>
      </w:r>
      <w:r>
        <w:rPr>
          <w:rFonts w:ascii="宋体" w:hAnsi="宋体" w:eastAsia="宋体"/>
        </w:rPr>
        <w:t>被接纳的记录依据两条幂等规则写入存储。原始候选文本以其来源</w:t>
      </w:r>
      <w:r>
        <w:t xml:space="preserve"> URL </w:t>
      </w:r>
      <w:r>
        <w:rPr>
          <w:rFonts w:ascii="宋体" w:hAnsi="宋体" w:eastAsia="宋体"/>
        </w:rPr>
        <w:t>的哈希为键，因此对同一来源重复采集不会新增任何内容，管道可在中断后续跑。分类</w:t>
      </w:r>
      <w:r>
        <w:t>——</w:t>
      </w:r>
      <w:r>
        <w:rPr>
          <w:rFonts w:ascii="宋体" w:hAnsi="宋体" w:eastAsia="宋体"/>
        </w:rPr>
        <w:t>单条记录成本最高的一步</w:t>
      </w:r>
      <w:r>
        <w:t>——</w:t>
      </w:r>
      <w:r>
        <w:rPr>
          <w:rFonts w:ascii="宋体" w:hAnsi="宋体" w:eastAsia="宋体"/>
        </w:rPr>
        <w:t>每十条记录设立检查点，中断的运行从最近检查点恢复，而非重新发出模型调用。对于由小团队构建的此等规模语料，这两条性质都很重要：它们使采集与分类可在无需人工簿记的情况下重启。</w:t>
      </w:r>
    </w:p>
    <w:p>
      <w:pPr>
        <w:pStyle w:val="Heading2"/>
      </w:pPr>
      <w:r>
        <w:rPr>
          <w:color w:val="000000"/>
        </w:rPr>
        <w:t>3.3 CAICS</w:t>
      </w:r>
      <w:r>
        <w:rPr>
          <w:color w:val="000000"/>
        </w:rPr>
        <w:t>：操作性编码方案</w:t>
      </w:r>
    </w:p>
    <w:p>
      <w:r>
        <w:rPr>
          <w:rFonts w:ascii="宋体" w:hAnsi="宋体" w:eastAsia="宋体"/>
        </w:rPr>
        <w:t>建筑施工事故综合致因系统（</w:t>
      </w:r>
      <w:r>
        <w:t>CAICS</w:t>
      </w:r>
      <w:r>
        <w:t>）是面向施工事故叙述的</w:t>
      </w:r>
      <w:r>
        <w:t xml:space="preserve"> 5 </w:t>
      </w:r>
      <w:r>
        <w:rPr>
          <w:rFonts w:ascii="宋体" w:hAnsi="宋体" w:eastAsia="宋体"/>
        </w:rPr>
        <w:t>层</w:t>
      </w:r>
      <w:r>
        <w:t xml:space="preserve"> 19 </w:t>
      </w:r>
      <w:r>
        <w:rPr>
          <w:rFonts w:ascii="宋体" w:hAnsi="宋体" w:eastAsia="宋体"/>
        </w:rPr>
        <w:t>类编码方案。其层级遵循因果泄漏模型：管理层（</w:t>
      </w:r>
      <w:r>
        <w:t>M</w:t>
      </w:r>
      <w:r>
        <w:t>）回答为何该工地易出事故；防线层（</w:t>
      </w:r>
      <w:r>
        <w:t>F</w:t>
      </w:r>
      <w:r>
        <w:t>）回答为何物理屏障失效；触发层（</w:t>
      </w:r>
      <w:r>
        <w:t>T</w:t>
      </w:r>
      <w:r>
        <w:t>）回答何种物质条件引发事件；人的行为层（</w:t>
      </w:r>
      <w:r>
        <w:t>H</w:t>
      </w:r>
      <w:r>
        <w:t>）回答何种不安全行为在前；后果层（</w:t>
      </w:r>
      <w:r>
        <w:t>C</w:t>
      </w:r>
      <w:r>
        <w:t>）回答为何后果超出预期。表</w:t>
      </w:r>
      <w:r>
        <w:t xml:space="preserve"> 2 </w:t>
      </w:r>
      <w:r>
        <w:rPr>
          <w:rFonts w:ascii="宋体" w:hAnsi="宋体" w:eastAsia="宋体"/>
        </w:rPr>
        <w:t>列出十九类及其操作定义与典型证据关键词。</w:t>
      </w:r>
    </w:p>
    <w:p>
      <w:r>
        <w:rPr>
          <w:rFonts w:ascii="宋体" w:hAnsi="宋体" w:eastAsia="宋体"/>
          <w:b/>
        </w:rPr>
        <w:t>表 2. CAICS 编码方案：操作定义</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层</w:t>
            </w:r>
          </w:p>
        </w:tc>
        <w:tc>
          <w:tcPr>
            <w:tcW w:type="dxa" w:w="1728"/>
          </w:tcPr>
          <w:p>
            <w:r>
              <w:rPr>
                <w:b/>
              </w:rPr>
              <w:t>码</w:t>
            </w:r>
          </w:p>
        </w:tc>
        <w:tc>
          <w:tcPr>
            <w:tcW w:type="dxa" w:w="1728"/>
          </w:tcPr>
          <w:p>
            <w:r>
              <w:rPr>
                <w:b/>
              </w:rPr>
              <w:t>类别</w:t>
            </w:r>
          </w:p>
        </w:tc>
        <w:tc>
          <w:tcPr>
            <w:tcW w:type="dxa" w:w="1728"/>
          </w:tcPr>
          <w:p>
            <w:r>
              <w:rPr>
                <w:b/>
              </w:rPr>
              <w:t>操作定义</w:t>
            </w:r>
          </w:p>
        </w:tc>
        <w:tc>
          <w:tcPr>
            <w:tcW w:type="dxa" w:w="1728"/>
          </w:tcPr>
          <w:p>
            <w:r>
              <w:rPr>
                <w:b/>
              </w:rPr>
              <w:t>典型证据关键词</w:t>
            </w:r>
          </w:p>
        </w:tc>
      </w:tr>
      <w:tr>
        <w:tc>
          <w:tcPr>
            <w:tcW w:type="dxa" w:w="1728"/>
          </w:tcPr>
          <w:p>
            <w:r>
              <w:t>M 层 — 管理根基</w:t>
            </w:r>
          </w:p>
        </w:tc>
        <w:tc>
          <w:tcPr>
            <w:tcW w:type="dxa" w:w="1728"/>
          </w:tcPr>
          <w:p>
            <w:r>
              <w:t>M1</w:t>
            </w:r>
          </w:p>
        </w:tc>
        <w:tc>
          <w:tcPr>
            <w:tcW w:type="dxa" w:w="1728"/>
          </w:tcPr>
          <w:p>
            <w:r>
              <w:t>现场监管缺失</w:t>
            </w:r>
          </w:p>
        </w:tc>
        <w:tc>
          <w:tcPr>
            <w:tcW w:type="dxa" w:w="1728"/>
          </w:tcPr>
          <w:p>
            <w:r>
              <w:t>现场无具备资格的监督人员，或监督未能发现并制止不安全状态</w:t>
            </w:r>
          </w:p>
        </w:tc>
        <w:tc>
          <w:tcPr>
            <w:tcW w:type="dxa" w:w="1728"/>
          </w:tcPr>
          <w:p>
            <w:r>
              <w:t>无人监督；监理未到场；未予制止</w:t>
            </w:r>
          </w:p>
        </w:tc>
      </w:tr>
      <w:tr>
        <w:tc>
          <w:tcPr>
            <w:tcW w:type="dxa" w:w="1728"/>
          </w:tcPr>
          <w:p>
            <w:r/>
          </w:p>
        </w:tc>
        <w:tc>
          <w:tcPr>
            <w:tcW w:type="dxa" w:w="1728"/>
          </w:tcPr>
          <w:p>
            <w:r>
              <w:t>M2</w:t>
            </w:r>
          </w:p>
        </w:tc>
        <w:tc>
          <w:tcPr>
            <w:tcW w:type="dxa" w:w="1728"/>
          </w:tcPr>
          <w:p>
            <w:r>
              <w:t>隐患排查失效</w:t>
            </w:r>
          </w:p>
        </w:tc>
        <w:tc>
          <w:tcPr>
            <w:tcW w:type="dxa" w:w="1728"/>
          </w:tcPr>
          <w:p>
            <w:r>
              <w:t>隐患未排查、未整改，或长期存在</w:t>
            </w:r>
          </w:p>
        </w:tc>
        <w:tc>
          <w:tcPr>
            <w:tcW w:type="dxa" w:w="1728"/>
          </w:tcPr>
          <w:p>
            <w:r>
              <w:t>隐患未整改；检查走过场；反复上报未处置</w:t>
            </w:r>
          </w:p>
        </w:tc>
      </w:tr>
      <w:tr>
        <w:tc>
          <w:tcPr>
            <w:tcW w:type="dxa" w:w="1728"/>
          </w:tcPr>
          <w:p>
            <w:r/>
          </w:p>
        </w:tc>
        <w:tc>
          <w:tcPr>
            <w:tcW w:type="dxa" w:w="1728"/>
          </w:tcPr>
          <w:p>
            <w:r>
              <w:t>M3</w:t>
            </w:r>
          </w:p>
        </w:tc>
        <w:tc>
          <w:tcPr>
            <w:tcW w:type="dxa" w:w="1728"/>
          </w:tcPr>
          <w:p>
            <w:r>
              <w:t>安全培训不足</w:t>
            </w:r>
          </w:p>
        </w:tc>
        <w:tc>
          <w:tcPr>
            <w:tcW w:type="dxa" w:w="1728"/>
          </w:tcPr>
          <w:p>
            <w:r>
              <w:t>未进行入场培训或安全交底流于形式；作业人员缺乏必要安全知识</w:t>
            </w:r>
          </w:p>
        </w:tc>
        <w:tc>
          <w:tcPr>
            <w:tcW w:type="dxa" w:w="1728"/>
          </w:tcPr>
          <w:p>
            <w:r>
              <w:t>未做三级教育；班前未交底；作业人员不知规程</w:t>
            </w:r>
          </w:p>
        </w:tc>
      </w:tr>
      <w:tr>
        <w:tc>
          <w:tcPr>
            <w:tcW w:type="dxa" w:w="1728"/>
          </w:tcPr>
          <w:p>
            <w:r/>
          </w:p>
        </w:tc>
        <w:tc>
          <w:tcPr>
            <w:tcW w:type="dxa" w:w="1728"/>
          </w:tcPr>
          <w:p>
            <w:r>
              <w:t>M4</w:t>
            </w:r>
          </w:p>
        </w:tc>
        <w:tc>
          <w:tcPr>
            <w:tcW w:type="dxa" w:w="1728"/>
          </w:tcPr>
          <w:p>
            <w:r>
              <w:t>制度规程漏洞</w:t>
            </w:r>
          </w:p>
        </w:tc>
        <w:tc>
          <w:tcPr>
            <w:tcW w:type="dxa" w:w="1728"/>
          </w:tcPr>
          <w:p>
            <w:r>
              <w:t>无安全方案、无应急预案，或现场管理制度不健全</w:t>
            </w:r>
          </w:p>
        </w:tc>
        <w:tc>
          <w:tcPr>
            <w:tcW w:type="dxa" w:w="1728"/>
          </w:tcPr>
          <w:p>
            <w:r>
              <w:t>无专项施工方案；应急预案缺失；制度未建立</w:t>
            </w:r>
          </w:p>
        </w:tc>
      </w:tr>
      <w:tr>
        <w:tc>
          <w:tcPr>
            <w:tcW w:type="dxa" w:w="1728"/>
          </w:tcPr>
          <w:p>
            <w:r/>
          </w:p>
        </w:tc>
        <w:tc>
          <w:tcPr>
            <w:tcW w:type="dxa" w:w="1728"/>
          </w:tcPr>
          <w:p>
            <w:r>
              <w:t>M5</w:t>
            </w:r>
          </w:p>
        </w:tc>
        <w:tc>
          <w:tcPr>
            <w:tcW w:type="dxa" w:w="1728"/>
          </w:tcPr>
          <w:p>
            <w:r>
              <w:t>市场行为违规</w:t>
            </w:r>
          </w:p>
        </w:tc>
        <w:tc>
          <w:tcPr>
            <w:tcW w:type="dxa" w:w="1728"/>
          </w:tcPr>
          <w:p>
            <w:r>
              <w:t>无资质承揽、违法分包、转包挂靠，或违规压缩工期</w:t>
            </w:r>
          </w:p>
        </w:tc>
        <w:tc>
          <w:tcPr>
            <w:tcW w:type="dxa" w:w="1728"/>
          </w:tcPr>
          <w:p>
            <w:r>
              <w:t>施工单位无资质；违法分包；压缩工期</w:t>
            </w:r>
          </w:p>
        </w:tc>
      </w:tr>
      <w:tr>
        <w:tc>
          <w:tcPr>
            <w:tcW w:type="dxa" w:w="1728"/>
          </w:tcPr>
          <w:p>
            <w:r>
              <w:t>F 层 — 防线失效</w:t>
            </w:r>
          </w:p>
        </w:tc>
        <w:tc>
          <w:tcPr>
            <w:tcW w:type="dxa" w:w="1728"/>
          </w:tcPr>
          <w:p>
            <w:r>
              <w:t>F1</w:t>
            </w:r>
          </w:p>
        </w:tc>
        <w:tc>
          <w:tcPr>
            <w:tcW w:type="dxa" w:w="1728"/>
          </w:tcPr>
          <w:p>
            <w:r>
              <w:t>临边洞口防护缺失</w:t>
            </w:r>
          </w:p>
        </w:tc>
        <w:tc>
          <w:tcPr>
            <w:tcW w:type="dxa" w:w="1728"/>
          </w:tcPr>
          <w:p>
            <w:r>
              <w:t>无防护栏杆、无安全网、洞口未盖或临边未设防</w:t>
            </w:r>
          </w:p>
        </w:tc>
        <w:tc>
          <w:tcPr>
            <w:tcW w:type="dxa" w:w="1728"/>
          </w:tcPr>
          <w:p>
            <w:r>
              <w:t>井口无护栏；安全网缺失；洞口未覆盖</w:t>
            </w:r>
          </w:p>
        </w:tc>
      </w:tr>
      <w:tr>
        <w:tc>
          <w:tcPr>
            <w:tcW w:type="dxa" w:w="1728"/>
          </w:tcPr>
          <w:p>
            <w:r/>
          </w:p>
        </w:tc>
        <w:tc>
          <w:tcPr>
            <w:tcW w:type="dxa" w:w="1728"/>
          </w:tcPr>
          <w:p>
            <w:r>
              <w:t>F2</w:t>
            </w:r>
          </w:p>
        </w:tc>
        <w:tc>
          <w:tcPr>
            <w:tcW w:type="dxa" w:w="1728"/>
          </w:tcPr>
          <w:p>
            <w:r>
              <w:t>支撑体系失稳</w:t>
            </w:r>
          </w:p>
        </w:tc>
        <w:tc>
          <w:tcPr>
            <w:tcW w:type="dxa" w:w="1728"/>
          </w:tcPr>
          <w:p>
            <w:r>
              <w:t>模板或脚手架失稳、支撑不足，或临时结构失效</w:t>
            </w:r>
          </w:p>
        </w:tc>
        <w:tc>
          <w:tcPr>
            <w:tcW w:type="dxa" w:w="1728"/>
          </w:tcPr>
          <w:p>
            <w:r>
              <w:t>模板支撑坍塌；脚手架失稳；支撑不足</w:t>
            </w:r>
          </w:p>
        </w:tc>
      </w:tr>
      <w:tr>
        <w:tc>
          <w:tcPr>
            <w:tcW w:type="dxa" w:w="1728"/>
          </w:tcPr>
          <w:p>
            <w:r/>
          </w:p>
        </w:tc>
        <w:tc>
          <w:tcPr>
            <w:tcW w:type="dxa" w:w="1728"/>
          </w:tcPr>
          <w:p>
            <w:r>
              <w:t>F3</w:t>
            </w:r>
          </w:p>
        </w:tc>
        <w:tc>
          <w:tcPr>
            <w:tcW w:type="dxa" w:w="1728"/>
          </w:tcPr>
          <w:p>
            <w:r>
              <w:t>设备安全装置失效</w:t>
            </w:r>
          </w:p>
        </w:tc>
        <w:tc>
          <w:tcPr>
            <w:tcW w:type="dxa" w:w="1728"/>
          </w:tcPr>
          <w:p>
            <w:r>
              <w:t>限位器被屏蔽、防坠器失效，或安全装置损坏、未安装</w:t>
            </w:r>
          </w:p>
        </w:tc>
        <w:tc>
          <w:tcPr>
            <w:tcW w:type="dxa" w:w="1728"/>
          </w:tcPr>
          <w:p>
            <w:r>
              <w:t>限位器被屏蔽；防坠器失效；装置被拆除</w:t>
            </w:r>
          </w:p>
        </w:tc>
      </w:tr>
      <w:tr>
        <w:tc>
          <w:tcPr>
            <w:tcW w:type="dxa" w:w="1728"/>
          </w:tcPr>
          <w:p>
            <w:r/>
          </w:p>
        </w:tc>
        <w:tc>
          <w:tcPr>
            <w:tcW w:type="dxa" w:w="1728"/>
          </w:tcPr>
          <w:p>
            <w:r>
              <w:t>F4</w:t>
            </w:r>
          </w:p>
        </w:tc>
        <w:tc>
          <w:tcPr>
            <w:tcW w:type="dxa" w:w="1728"/>
          </w:tcPr>
          <w:p>
            <w:r>
              <w:t>个体防护未使用</w:t>
            </w:r>
          </w:p>
        </w:tc>
        <w:tc>
          <w:tcPr>
            <w:tcW w:type="dxa" w:w="1728"/>
          </w:tcPr>
          <w:p>
            <w:r>
              <w:t>应按要求佩戴的安全带、安全帽等个体防护装备未使用</w:t>
            </w:r>
          </w:p>
        </w:tc>
        <w:tc>
          <w:tcPr>
            <w:tcW w:type="dxa" w:w="1728"/>
          </w:tcPr>
          <w:p>
            <w:r>
              <w:t>未系安全带；未戴安全帽；无个体防护</w:t>
            </w:r>
          </w:p>
        </w:tc>
      </w:tr>
      <w:tr>
        <w:tc>
          <w:tcPr>
            <w:tcW w:type="dxa" w:w="1728"/>
          </w:tcPr>
          <w:p>
            <w:r>
              <w:t>T 层 — 触发条件</w:t>
            </w:r>
          </w:p>
        </w:tc>
        <w:tc>
          <w:tcPr>
            <w:tcW w:type="dxa" w:w="1728"/>
          </w:tcPr>
          <w:p>
            <w:r>
              <w:t>T1</w:t>
            </w:r>
          </w:p>
        </w:tc>
        <w:tc>
          <w:tcPr>
            <w:tcW w:type="dxa" w:w="1728"/>
          </w:tcPr>
          <w:p>
            <w:r>
              <w:t>设备机具故障</w:t>
            </w:r>
          </w:p>
        </w:tc>
        <w:tc>
          <w:tcPr>
            <w:tcW w:type="dxa" w:w="1728"/>
          </w:tcPr>
          <w:p>
            <w:r>
              <w:t>设备故障、钢丝绳断裂、机械失灵或制动失效</w:t>
            </w:r>
          </w:p>
        </w:tc>
        <w:tc>
          <w:tcPr>
            <w:tcW w:type="dxa" w:w="1728"/>
          </w:tcPr>
          <w:p>
            <w:r>
              <w:t>提升机故障；钢丝绳断裂；制动失灵</w:t>
            </w:r>
          </w:p>
        </w:tc>
      </w:tr>
      <w:tr>
        <w:tc>
          <w:tcPr>
            <w:tcW w:type="dxa" w:w="1728"/>
          </w:tcPr>
          <w:p>
            <w:r/>
          </w:p>
        </w:tc>
        <w:tc>
          <w:tcPr>
            <w:tcW w:type="dxa" w:w="1728"/>
          </w:tcPr>
          <w:p>
            <w:r>
              <w:t>T2</w:t>
            </w:r>
          </w:p>
        </w:tc>
        <w:tc>
          <w:tcPr>
            <w:tcW w:type="dxa" w:w="1728"/>
          </w:tcPr>
          <w:p>
            <w:r>
              <w:t>物料状态异常</w:t>
            </w:r>
          </w:p>
        </w:tc>
        <w:tc>
          <w:tcPr>
            <w:tcW w:type="dxa" w:w="1728"/>
          </w:tcPr>
          <w:p>
            <w:r>
              <w:t>堆载超出设计承载、材料缺陷或物料失稳</w:t>
            </w:r>
          </w:p>
        </w:tc>
        <w:tc>
          <w:tcPr>
            <w:tcW w:type="dxa" w:w="1728"/>
          </w:tcPr>
          <w:p>
            <w:r>
              <w:t>堆载超限；材料缺陷；物料浸水增重</w:t>
            </w:r>
          </w:p>
        </w:tc>
      </w:tr>
      <w:tr>
        <w:tc>
          <w:tcPr>
            <w:tcW w:type="dxa" w:w="1728"/>
          </w:tcPr>
          <w:p>
            <w:r/>
          </w:p>
        </w:tc>
        <w:tc>
          <w:tcPr>
            <w:tcW w:type="dxa" w:w="1728"/>
          </w:tcPr>
          <w:p>
            <w:r>
              <w:t>T3</w:t>
            </w:r>
          </w:p>
        </w:tc>
        <w:tc>
          <w:tcPr>
            <w:tcW w:type="dxa" w:w="1728"/>
          </w:tcPr>
          <w:p>
            <w:r>
              <w:t>地质环境突变</w:t>
            </w:r>
          </w:p>
        </w:tc>
        <w:tc>
          <w:tcPr>
            <w:tcW w:type="dxa" w:w="1728"/>
          </w:tcPr>
          <w:p>
            <w:r>
              <w:t>涌水、边坡失稳、地基沉降或流沙</w:t>
            </w:r>
          </w:p>
        </w:tc>
        <w:tc>
          <w:tcPr>
            <w:tcW w:type="dxa" w:w="1728"/>
          </w:tcPr>
          <w:p>
            <w:r>
              <w:t>突发涌水；边坡失稳；地基沉降</w:t>
            </w:r>
          </w:p>
        </w:tc>
      </w:tr>
      <w:tr>
        <w:tc>
          <w:tcPr>
            <w:tcW w:type="dxa" w:w="1728"/>
          </w:tcPr>
          <w:p>
            <w:r/>
          </w:p>
        </w:tc>
        <w:tc>
          <w:tcPr>
            <w:tcW w:type="dxa" w:w="1728"/>
          </w:tcPr>
          <w:p>
            <w:r>
              <w:t>T4</w:t>
            </w:r>
          </w:p>
        </w:tc>
        <w:tc>
          <w:tcPr>
            <w:tcW w:type="dxa" w:w="1728"/>
          </w:tcPr>
          <w:p>
            <w:r>
              <w:t>气象水文触发</w:t>
            </w:r>
          </w:p>
        </w:tc>
        <w:tc>
          <w:tcPr>
            <w:tcW w:type="dxa" w:w="1728"/>
          </w:tcPr>
          <w:p>
            <w:r>
              <w:t>暴雨、大风、冰雪、雷电或连日降雨</w:t>
            </w:r>
          </w:p>
        </w:tc>
        <w:tc>
          <w:tcPr>
            <w:tcW w:type="dxa" w:w="1728"/>
          </w:tcPr>
          <w:p>
            <w:r>
              <w:t>暴雨；大风；连日降雨；雷电</w:t>
            </w:r>
          </w:p>
        </w:tc>
      </w:tr>
      <w:tr>
        <w:tc>
          <w:tcPr>
            <w:tcW w:type="dxa" w:w="1728"/>
          </w:tcPr>
          <w:p>
            <w:r>
              <w:t>H 层 — 人的行为</w:t>
            </w:r>
          </w:p>
        </w:tc>
        <w:tc>
          <w:tcPr>
            <w:tcW w:type="dxa" w:w="1728"/>
          </w:tcPr>
          <w:p>
            <w:r>
              <w:t>H1</w:t>
            </w:r>
          </w:p>
        </w:tc>
        <w:tc>
          <w:tcPr>
            <w:tcW w:type="dxa" w:w="1728"/>
          </w:tcPr>
          <w:p>
            <w:r>
              <w:t>违反操作规程</w:t>
            </w:r>
          </w:p>
        </w:tc>
        <w:tc>
          <w:tcPr>
            <w:tcW w:type="dxa" w:w="1728"/>
          </w:tcPr>
          <w:p>
            <w:r>
              <w:t>未按方案施工、擅自变更方案或未按规范搭设</w:t>
            </w:r>
          </w:p>
        </w:tc>
        <w:tc>
          <w:tcPr>
            <w:tcW w:type="dxa" w:w="1728"/>
          </w:tcPr>
          <w:p>
            <w:r>
              <w:t>未按方案施工；擅自变更；违规搭设</w:t>
            </w:r>
          </w:p>
        </w:tc>
      </w:tr>
      <w:tr>
        <w:tc>
          <w:tcPr>
            <w:tcW w:type="dxa" w:w="1728"/>
          </w:tcPr>
          <w:p>
            <w:r/>
          </w:p>
        </w:tc>
        <w:tc>
          <w:tcPr>
            <w:tcW w:type="dxa" w:w="1728"/>
          </w:tcPr>
          <w:p>
            <w:r>
              <w:t>H2</w:t>
            </w:r>
          </w:p>
        </w:tc>
        <w:tc>
          <w:tcPr>
            <w:tcW w:type="dxa" w:w="1728"/>
          </w:tcPr>
          <w:p>
            <w:r>
              <w:t>违规指挥决策</w:t>
            </w:r>
          </w:p>
        </w:tc>
        <w:tc>
          <w:tcPr>
            <w:tcW w:type="dxa" w:w="1728"/>
          </w:tcPr>
          <w:p>
            <w:r>
              <w:t>明知已识别的风险仍下令或继续作业</w:t>
            </w:r>
          </w:p>
        </w:tc>
        <w:tc>
          <w:tcPr>
            <w:tcW w:type="dxa" w:w="1728"/>
          </w:tcPr>
          <w:p>
            <w:r>
              <w:t>强令作业；已知风险仍继续施工</w:t>
            </w:r>
          </w:p>
        </w:tc>
      </w:tr>
      <w:tr>
        <w:tc>
          <w:tcPr>
            <w:tcW w:type="dxa" w:w="1728"/>
          </w:tcPr>
          <w:p>
            <w:r/>
          </w:p>
        </w:tc>
        <w:tc>
          <w:tcPr>
            <w:tcW w:type="dxa" w:w="1728"/>
          </w:tcPr>
          <w:p>
            <w:r>
              <w:t>H3</w:t>
            </w:r>
          </w:p>
        </w:tc>
        <w:tc>
          <w:tcPr>
            <w:tcW w:type="dxa" w:w="1728"/>
          </w:tcPr>
          <w:p>
            <w:r>
              <w:t>风险辨识失败</w:t>
            </w:r>
          </w:p>
        </w:tc>
        <w:tc>
          <w:tcPr>
            <w:tcW w:type="dxa" w:w="1728"/>
          </w:tcPr>
          <w:p>
            <w:r>
              <w:t>未识别危险，或已识别但判断失误</w:t>
            </w:r>
          </w:p>
        </w:tc>
        <w:tc>
          <w:tcPr>
            <w:tcW w:type="dxa" w:w="1728"/>
          </w:tcPr>
          <w:p>
            <w:r>
              <w:t>未察觉危险；判断失误；疏忽大意</w:t>
            </w:r>
          </w:p>
        </w:tc>
      </w:tr>
      <w:tr>
        <w:tc>
          <w:tcPr>
            <w:tcW w:type="dxa" w:w="1728"/>
          </w:tcPr>
          <w:p>
            <w:r/>
          </w:p>
        </w:tc>
        <w:tc>
          <w:tcPr>
            <w:tcW w:type="dxa" w:w="1728"/>
          </w:tcPr>
          <w:p>
            <w:r>
              <w:t>H4</w:t>
            </w:r>
          </w:p>
        </w:tc>
        <w:tc>
          <w:tcPr>
            <w:tcW w:type="dxa" w:w="1728"/>
          </w:tcPr>
          <w:p>
            <w:r>
              <w:t>应急行为失当</w:t>
            </w:r>
          </w:p>
        </w:tc>
        <w:tc>
          <w:tcPr>
            <w:tcW w:type="dxa" w:w="1728"/>
          </w:tcPr>
          <w:p>
            <w:r>
              <w:t>无防护施救、撤离不及时，或救援方法不当致后果扩大</w:t>
            </w:r>
          </w:p>
        </w:tc>
        <w:tc>
          <w:tcPr>
            <w:tcW w:type="dxa" w:w="1728"/>
          </w:tcPr>
          <w:p>
            <w:r>
              <w:t>盲目施救；救援方法错误；撤离不及时</w:t>
            </w:r>
          </w:p>
        </w:tc>
      </w:tr>
      <w:tr>
        <w:tc>
          <w:tcPr>
            <w:tcW w:type="dxa" w:w="1728"/>
          </w:tcPr>
          <w:p>
            <w:r>
              <w:t>C 层 — 后果放大</w:t>
            </w:r>
          </w:p>
        </w:tc>
        <w:tc>
          <w:tcPr>
            <w:tcW w:type="dxa" w:w="1728"/>
          </w:tcPr>
          <w:p>
            <w:r>
              <w:t>C1</w:t>
            </w:r>
          </w:p>
        </w:tc>
        <w:tc>
          <w:tcPr>
            <w:tcW w:type="dxa" w:w="1728"/>
          </w:tcPr>
          <w:p>
            <w:r>
              <w:t>救援响应迟缓</w:t>
            </w:r>
          </w:p>
        </w:tc>
        <w:tc>
          <w:tcPr>
            <w:tcW w:type="dxa" w:w="1728"/>
          </w:tcPr>
          <w:p>
            <w:r>
              <w:t>救援启动滞后、应急预案未落实，或二次坍塌阻碍救援</w:t>
            </w:r>
          </w:p>
        </w:tc>
        <w:tc>
          <w:tcPr>
            <w:tcW w:type="dxa" w:w="1728"/>
          </w:tcPr>
          <w:p>
            <w:r>
              <w:t>救援不及时；二次坍塌；无应急预案</w:t>
            </w:r>
          </w:p>
        </w:tc>
      </w:tr>
      <w:tr>
        <w:tc>
          <w:tcPr>
            <w:tcW w:type="dxa" w:w="1728"/>
          </w:tcPr>
          <w:p>
            <w:r/>
          </w:p>
        </w:tc>
        <w:tc>
          <w:tcPr>
            <w:tcW w:type="dxa" w:w="1728"/>
          </w:tcPr>
          <w:p>
            <w:r>
              <w:t>C2</w:t>
            </w:r>
          </w:p>
        </w:tc>
        <w:tc>
          <w:tcPr>
            <w:tcW w:type="dxa" w:w="1728"/>
          </w:tcPr>
          <w:p>
            <w:r>
              <w:t>信息迟报瞒报</w:t>
            </w:r>
          </w:p>
        </w:tc>
        <w:tc>
          <w:tcPr>
            <w:tcW w:type="dxa" w:w="1728"/>
          </w:tcPr>
          <w:p>
            <w:r>
              <w:t>未上报、少报或迟报事故信息</w:t>
            </w:r>
          </w:p>
        </w:tc>
        <w:tc>
          <w:tcPr>
            <w:tcW w:type="dxa" w:w="1728"/>
          </w:tcPr>
          <w:p>
            <w:r>
              <w:t>未上报；瞒报伤亡；迟报</w:t>
            </w:r>
          </w:p>
        </w:tc>
      </w:tr>
    </w:tbl>
    <w:p>
      <w:r>
        <w:rPr>
          <w:i/>
        </w:rPr>
        <w:t>关键词为语料中中文表述的概括。不依赖直接引用的编码占比随层而异——管理层 12.0%，触发层 3.1%——与 3.1 节的三级证据方案一致。</w:t>
      </w:r>
    </w:p>
    <w:p>
      <w:r>
        <w:t xml:space="preserve">CAICS </w:t>
      </w:r>
      <w:r>
        <w:rPr>
          <w:rFonts w:ascii="宋体" w:hAnsi="宋体" w:eastAsia="宋体"/>
        </w:rPr>
        <w:t>与源自航空领域的</w:t>
      </w:r>
      <w:r>
        <w:t xml:space="preserve"> HFACS </w:t>
      </w:r>
      <w:r>
        <w:rPr>
          <w:rFonts w:ascii="宋体" w:hAnsi="宋体" w:eastAsia="宋体"/>
        </w:rPr>
        <w:t>改编（</w:t>
      </w:r>
      <w:r>
        <w:t>Shappell and Wiegmann, 2000; Liu et al., 2025a</w:t>
      </w:r>
      <w:r>
        <w:t>）有两个设计差异：</w:t>
      </w:r>
      <w:r>
        <w:t xml:space="preserve">F </w:t>
      </w:r>
      <w:r>
        <w:rPr>
          <w:rFonts w:ascii="宋体" w:hAnsi="宋体" w:eastAsia="宋体"/>
        </w:rPr>
        <w:t>层刻画施工领域普遍的物理防护失效，</w:t>
      </w:r>
      <w:r>
        <w:t xml:space="preserve">C </w:t>
      </w:r>
      <w:r>
        <w:rPr>
          <w:rFonts w:ascii="宋体" w:hAnsi="宋体" w:eastAsia="宋体"/>
        </w:rPr>
        <w:t>层记录迟报瞒报等后果放大因素。方案经泄漏模型指导下的语料驱动归纳得出：从语料抽取因果表述、聚类为候选类别、整合为五层，频次低于下限的类别合并或删除；保留类别均配有操作定义与语料归纳的证据关键词。我们强调该声明的范围：推导协议是迭代式工程流程而非正式的内容效度研究，且尚未在独立数据上与</w:t>
      </w:r>
      <w:r>
        <w:t xml:space="preserve"> 24Model</w:t>
      </w:r>
      <w:r>
        <w:t>（</w:t>
      </w:r>
      <w:r>
        <w:t>Xuecai et al., 2024</w:t>
      </w:r>
      <w:r>
        <w:t>）、</w:t>
      </w:r>
      <w:r>
        <w:t xml:space="preserve">Accimap </w:t>
      </w:r>
      <w:r>
        <w:rPr>
          <w:rFonts w:ascii="宋体" w:hAnsi="宋体" w:eastAsia="宋体"/>
        </w:rPr>
        <w:t>或</w:t>
      </w:r>
      <w:r>
        <w:t xml:space="preserve"> HFACS </w:t>
      </w:r>
      <w:r>
        <w:rPr>
          <w:rFonts w:ascii="宋体" w:hAnsi="宋体" w:eastAsia="宋体"/>
        </w:rPr>
        <w:t>做对比验证。因此本文将</w:t>
      </w:r>
      <w:r>
        <w:t xml:space="preserve"> CAICS </w:t>
      </w:r>
      <w:r>
        <w:rPr>
          <w:rFonts w:ascii="宋体" w:hAnsi="宋体" w:eastAsia="宋体"/>
        </w:rPr>
        <w:t>定位为本数据库的操作性方案</w:t>
      </w:r>
      <w:r>
        <w:t>——</w:t>
      </w:r>
      <w:r>
        <w:rPr>
          <w:rFonts w:ascii="宋体" w:hAnsi="宋体" w:eastAsia="宋体"/>
        </w:rPr>
        <w:t>面向</w:t>
      </w:r>
      <w:r>
        <w:t xml:space="preserve"> LLM </w:t>
      </w:r>
      <w:r>
        <w:rPr>
          <w:rFonts w:ascii="宋体" w:hAnsi="宋体" w:eastAsia="宋体"/>
        </w:rPr>
        <w:t>的有限编码框架，配显式定义</w:t>
      </w:r>
      <w:r>
        <w:t>——</w:t>
      </w:r>
      <w:r>
        <w:rPr>
          <w:rFonts w:ascii="宋体" w:hAnsi="宋体" w:eastAsia="宋体"/>
        </w:rPr>
        <w:t>而非已经确立的致因理论。其可用性证据包括</w:t>
      </w:r>
      <w:r>
        <w:t xml:space="preserve"> 100 </w:t>
      </w:r>
      <w:r>
        <w:rPr>
          <w:rFonts w:ascii="宋体" w:hAnsi="宋体" w:eastAsia="宋体"/>
        </w:rPr>
        <w:t>条策略样本上的专家标注一致性（</w:t>
      </w:r>
      <w:r>
        <w:t xml:space="preserve">Fleiss' kappa </w:t>
      </w:r>
      <w:r>
        <w:rPr>
          <w:rFonts w:ascii="宋体" w:hAnsi="宋体" w:eastAsia="宋体"/>
        </w:rPr>
        <w:t>各层</w:t>
      </w:r>
      <w:r>
        <w:t xml:space="preserve"> 0.859–1.000</w:t>
      </w:r>
      <w:r>
        <w:t>，见</w:t>
      </w:r>
      <w:r>
        <w:t xml:space="preserve"> 4.1 </w:t>
      </w:r>
      <w:r>
        <w:rPr>
          <w:rFonts w:ascii="宋体" w:hAnsi="宋体" w:eastAsia="宋体"/>
        </w:rPr>
        <w:t>节）。</w:t>
      </w:r>
    </w:p>
    <w:p>
      <w:pPr>
        <w:pStyle w:val="Heading2"/>
      </w:pPr>
      <w:r>
        <w:rPr>
          <w:color w:val="000000"/>
        </w:rPr>
        <w:t xml:space="preserve">3.4 </w:t>
      </w:r>
      <w:r>
        <w:rPr>
          <w:rFonts w:ascii="宋体" w:hAnsi="宋体" w:eastAsia="宋体"/>
          <w:color w:val="000000"/>
        </w:rPr>
        <w:t>管道架构</w:t>
      </w:r>
    </w:p>
    <w:p>
      <w:r>
        <w:rPr>
          <w:rFonts w:ascii="宋体" w:hAnsi="宋体" w:eastAsia="宋体"/>
        </w:rPr>
        <w:t>图</w:t>
      </w:r>
      <w:r>
        <w:t xml:space="preserve"> 1 </w:t>
      </w:r>
      <w:r>
        <w:rPr>
          <w:rFonts w:ascii="宋体" w:hAnsi="宋体" w:eastAsia="宋体"/>
        </w:rPr>
        <w:t>展示总体架构。管道由六个处理阶段与随后的存储、访问层构成。</w:t>
      </w:r>
    </w:p>
    <w:p>
      <w:pPr>
        <w:jc w:val="center"/>
      </w:pPr>
      <w:r>
        <w:drawing>
          <wp:inline xmlns:a="http://schemas.openxmlformats.org/drawingml/2006/main" xmlns:pic="http://schemas.openxmlformats.org/drawingml/2006/picture">
            <wp:extent cx="5476326" cy="67665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76326" cy="6766560"/>
                    </a:xfrm>
                    <a:prstGeom prst="rect"/>
                  </pic:spPr>
                </pic:pic>
              </a:graphicData>
            </a:graphic>
          </wp:inline>
        </w:drawing>
      </w:r>
    </w:p>
    <w:p>
      <w:r>
        <w:rPr>
          <w:rFonts w:ascii="宋体" w:hAnsi="宋体" w:eastAsia="宋体"/>
          <w:b/>
        </w:rPr>
        <w:t>图 1. CAIEMS 系统架构</w:t>
      </w:r>
    </w:p>
    <w:p>
      <w:r>
        <w:rPr>
          <w:rFonts w:ascii="宋体" w:hAnsi="宋体" w:eastAsia="宋体"/>
          <w:b/>
        </w:rPr>
        <w:t>阶段 1：多源采集。</w:t>
      </w:r>
      <w:r>
        <w:t xml:space="preserve"> </w:t>
      </w:r>
      <w:r>
        <w:rPr>
          <w:rFonts w:ascii="宋体" w:hAnsi="宋体" w:eastAsia="宋体"/>
        </w:rPr>
        <w:t>事故报告采集自公共安全信息门户（</w:t>
      </w:r>
      <w:r>
        <w:t>safehoo.com</w:t>
      </w:r>
      <w:r>
        <w:t>、</w:t>
      </w:r>
      <w:r>
        <w:t>esafety.cn</w:t>
      </w:r>
      <w:r>
        <w:t>）、省级与国家级应急管理部门网站及公开事故汇编，遵循</w:t>
      </w:r>
      <w:r>
        <w:t xml:space="preserve"> 3.2 </w:t>
      </w:r>
      <w:r>
        <w:rPr>
          <w:rFonts w:ascii="宋体" w:hAnsi="宋体" w:eastAsia="宋体"/>
        </w:rPr>
        <w:t>节所述的双轨方案与采集、清洗、筛选流程。阶段</w:t>
      </w:r>
      <w:r>
        <w:t xml:space="preserve"> 1 </w:t>
      </w:r>
      <w:r>
        <w:rPr>
          <w:rFonts w:ascii="宋体" w:hAnsi="宋体" w:eastAsia="宋体"/>
        </w:rPr>
        <w:t>产出表</w:t>
      </w:r>
      <w:r>
        <w:t xml:space="preserve"> 1 </w:t>
      </w:r>
      <w:r>
        <w:rPr>
          <w:rFonts w:ascii="宋体" w:hAnsi="宋体" w:eastAsia="宋体"/>
        </w:rPr>
        <w:t>所报告构成的、已去重的工作语料</w:t>
      </w:r>
      <w:r>
        <w:t xml:space="preserve"> 2,623 </w:t>
      </w:r>
      <w:r>
        <w:rPr>
          <w:rFonts w:ascii="宋体" w:hAnsi="宋体" w:eastAsia="宋体"/>
        </w:rPr>
        <w:t>条。中国承包商海外工地事故（</w:t>
      </w:r>
      <w:r>
        <w:t xml:space="preserve">22 </w:t>
      </w:r>
      <w:r>
        <w:rPr>
          <w:rFonts w:ascii="宋体" w:hAnsi="宋体" w:eastAsia="宋体"/>
        </w:rPr>
        <w:t>条境外记录）保留于库但排除在省级统计之外。</w:t>
      </w:r>
    </w:p>
    <w:p>
      <w:r>
        <w:rPr>
          <w:rFonts w:ascii="宋体" w:hAnsi="宋体" w:eastAsia="宋体"/>
          <w:b/>
        </w:rPr>
        <w:t>阶段 2：LLM 文本分类。</w:t>
      </w:r>
      <w:r>
        <w:t xml:space="preserve"> </w:t>
      </w:r>
      <w:r>
        <w:rPr>
          <w:rFonts w:ascii="宋体" w:hAnsi="宋体" w:eastAsia="宋体"/>
        </w:rPr>
        <w:t>候选页面异质性显著，且提及事故的页面未必是某起事故的报告。轻量</w:t>
      </w:r>
      <w:r>
        <w:t xml:space="preserve"> LLM </w:t>
      </w:r>
      <w:r>
        <w:rPr>
          <w:rFonts w:ascii="宋体" w:hAnsi="宋体" w:eastAsia="宋体"/>
        </w:rPr>
        <w:t>分类器以五个标注示例的少样本提示为每条记录分配六种文本类型之一</w:t>
      </w:r>
      <w:r>
        <w:t>——</w:t>
      </w:r>
      <w:r>
        <w:rPr>
          <w:i/>
        </w:rPr>
        <w:t>单事故报告</w:t>
      </w:r>
      <w:r>
        <w:t>、</w:t>
      </w:r>
      <w:r>
        <w:rPr>
          <w:i/>
        </w:rPr>
        <w:t>多事故汇编</w:t>
      </w:r>
      <w:r>
        <w:t>、</w:t>
      </w:r>
      <w:r>
        <w:rPr>
          <w:i/>
        </w:rPr>
        <w:t>监管文件</w:t>
      </w:r>
      <w:r>
        <w:t>、</w:t>
      </w:r>
      <w:r>
        <w:rPr>
          <w:i/>
        </w:rPr>
        <w:t>汇总统计</w:t>
      </w:r>
      <w:r>
        <w:t>、</w:t>
      </w:r>
      <w:r>
        <w:rPr>
          <w:i/>
        </w:rPr>
        <w:t>培训材料</w:t>
      </w:r>
      <w:r>
        <w:rPr>
          <w:rFonts w:ascii="宋体" w:hAnsi="宋体" w:eastAsia="宋体"/>
        </w:rPr>
        <w:t>或</w:t>
      </w:r>
      <w:r>
        <w:rPr>
          <w:i/>
        </w:rPr>
        <w:t>其他</w:t>
      </w:r>
      <w:r>
        <w:t>。六种类型归为三种处置：单事故报告直接推进；多事故汇编拆分为其构成案例；其余四类移出语料。该阶段剔除的是</w:t>
      </w:r>
      <w:r>
        <w:t xml:space="preserve"> 3.2.4 </w:t>
      </w:r>
      <w:r>
        <w:rPr>
          <w:rFonts w:ascii="宋体" w:hAnsi="宋体" w:eastAsia="宋体"/>
        </w:rPr>
        <w:t>节规则闸门放行的监管通知、汇总统计、培训材料以及广告与导航文本。</w:t>
      </w:r>
      <w:r>
        <w:t xml:space="preserve">3.2 </w:t>
      </w:r>
      <w:r>
        <w:rPr>
          <w:rFonts w:ascii="宋体" w:hAnsi="宋体" w:eastAsia="宋体"/>
        </w:rPr>
        <w:t>节所述的</w:t>
      </w:r>
      <w:r>
        <w:t xml:space="preserve"> 895 </w:t>
      </w:r>
      <w:r>
        <w:rPr>
          <w:rFonts w:ascii="宋体" w:hAnsi="宋体" w:eastAsia="宋体"/>
        </w:rPr>
        <w:t>条数字化记录不经过本阶段；其向独立案例的切分由该节所述的文献级切分路径完成，在记录进入语料之前即实现了同样的区分。需说明的是分类器并不完美：一致性研究的</w:t>
      </w:r>
      <w:r>
        <w:t xml:space="preserve"> 300 </w:t>
      </w:r>
      <w:r>
        <w:rPr>
          <w:rFonts w:ascii="宋体" w:hAnsi="宋体" w:eastAsia="宋体"/>
        </w:rPr>
        <w:t>条抽样中仍有</w:t>
      </w:r>
      <w:r>
        <w:t xml:space="preserve"> 11 </w:t>
      </w:r>
      <w:r>
        <w:rPr>
          <w:rFonts w:ascii="宋体" w:hAnsi="宋体" w:eastAsia="宋体"/>
        </w:rPr>
        <w:t>条在标注时因含多起事故被排除，说明文本分类存在残留错误，当前管道尚未对其完全审计；多事故拆分规则仍部分依赖启发式。</w:t>
      </w:r>
    </w:p>
    <w:p>
      <w:r>
        <w:rPr>
          <w:rFonts w:ascii="宋体" w:hAnsi="宋体" w:eastAsia="宋体"/>
          <w:b/>
        </w:rPr>
        <w:t>阶段 3：基础字段抽取（Step 1）。</w:t>
      </w:r>
      <w:r>
        <w:t xml:space="preserve"> </w:t>
      </w:r>
      <w:r>
        <w:rPr>
          <w:rFonts w:ascii="宋体" w:hAnsi="宋体" w:eastAsia="宋体"/>
        </w:rPr>
        <w:t>对每条通过分类的记录，</w:t>
      </w:r>
      <w:r>
        <w:t xml:space="preserve">LLM </w:t>
      </w:r>
      <w:r>
        <w:rPr>
          <w:rFonts w:ascii="宋体" w:hAnsi="宋体" w:eastAsia="宋体"/>
        </w:rPr>
        <w:t>在严格</w:t>
      </w:r>
      <w:r>
        <w:t xml:space="preserve"> JSON </w:t>
      </w:r>
      <w:r>
        <w:rPr>
          <w:rFonts w:ascii="宋体" w:hAnsi="宋体" w:eastAsia="宋体"/>
        </w:rPr>
        <w:t>工具模式下抽取</w:t>
      </w:r>
      <w:r>
        <w:t xml:space="preserve"> 33 </w:t>
      </w:r>
      <w:r>
        <w:rPr>
          <w:rFonts w:ascii="宋体" w:hAnsi="宋体" w:eastAsia="宋体"/>
        </w:rPr>
        <w:t>字段基础信息向量。评测运行中</w:t>
      </w:r>
      <w:r>
        <w:t xml:space="preserve"> 100% </w:t>
      </w:r>
      <w:r>
        <w:rPr>
          <w:rFonts w:ascii="宋体" w:hAnsi="宋体" w:eastAsia="宋体"/>
        </w:rPr>
        <w:t>记录获得符合</w:t>
      </w:r>
      <w:r>
        <w:t xml:space="preserve"> schema </w:t>
      </w:r>
      <w:r>
        <w:rPr>
          <w:rFonts w:ascii="宋体" w:hAnsi="宋体" w:eastAsia="宋体"/>
        </w:rPr>
        <w:t>的输出。抽取器同时产出规范化标题摘要用于搜索增强。</w:t>
      </w:r>
    </w:p>
    <w:p>
      <w:r>
        <w:rPr>
          <w:rFonts w:ascii="宋体" w:hAnsi="宋体" w:eastAsia="宋体"/>
          <w:b/>
        </w:rPr>
        <w:t>阶段 4：CAICS 致因编码（Step 2）。</w:t>
      </w:r>
      <w:r>
        <w:t xml:space="preserve"> </w:t>
      </w:r>
      <w:r>
        <w:rPr>
          <w:rFonts w:ascii="宋体" w:hAnsi="宋体" w:eastAsia="宋体"/>
        </w:rPr>
        <w:t>编码器应用两步判断流程</w:t>
      </w:r>
      <w:r>
        <w:t>——</w:t>
      </w:r>
      <w:r>
        <w:rPr>
          <w:rFonts w:ascii="宋体" w:hAnsi="宋体" w:eastAsia="宋体"/>
        </w:rPr>
        <w:t>显性匹配后授权推断</w:t>
      </w:r>
      <w:r>
        <w:t>——</w:t>
      </w:r>
      <w:r>
        <w:rPr>
          <w:rFonts w:ascii="宋体" w:hAnsi="宋体" w:eastAsia="宋体"/>
        </w:rPr>
        <w:t>并为每个编码记录证据层级、支撑文本与推理链（</w:t>
      </w:r>
      <w:r>
        <w:t xml:space="preserve">3.1 </w:t>
      </w:r>
      <w:r>
        <w:rPr>
          <w:rFonts w:ascii="宋体" w:hAnsi="宋体" w:eastAsia="宋体"/>
        </w:rPr>
        <w:t>节）。图</w:t>
      </w:r>
      <w:r>
        <w:t xml:space="preserve"> 2 </w:t>
      </w:r>
      <w:r>
        <w:rPr>
          <w:rFonts w:ascii="宋体" w:hAnsi="宋体" w:eastAsia="宋体"/>
        </w:rPr>
        <w:t>以一条真实记录的示例展示五层结构。</w:t>
      </w:r>
    </w:p>
    <w:p>
      <w:pPr>
        <w:jc w:val="center"/>
      </w:pPr>
      <w:r>
        <w:drawing>
          <wp:inline xmlns:a="http://schemas.openxmlformats.org/drawingml/2006/main" xmlns:pic="http://schemas.openxmlformats.org/drawingml/2006/picture">
            <wp:extent cx="5486400" cy="3320771"/>
            <wp:docPr id="2" name="Picture 2"/>
            <wp:cNvGraphicFramePr>
              <a:graphicFrameLocks noChangeAspect="1"/>
            </wp:cNvGraphicFramePr>
            <a:graphic>
              <a:graphicData uri="http://schemas.openxmlformats.org/drawingml/2006/picture">
                <pic:pic>
                  <pic:nvPicPr>
                    <pic:cNvPr id="0" name="fig2_caics_tree.png"/>
                    <pic:cNvPicPr/>
                  </pic:nvPicPr>
                  <pic:blipFill>
                    <a:blip r:embed="rId10"/>
                    <a:stretch>
                      <a:fillRect/>
                    </a:stretch>
                  </pic:blipFill>
                  <pic:spPr>
                    <a:xfrm>
                      <a:off x="0" y="0"/>
                      <a:ext cx="5486400" cy="3320771"/>
                    </a:xfrm>
                    <a:prstGeom prst="rect"/>
                  </pic:spPr>
                </pic:pic>
              </a:graphicData>
            </a:graphic>
          </wp:inline>
        </w:drawing>
      </w:r>
    </w:p>
    <w:p>
      <w:r>
        <w:rPr>
          <w:rFonts w:ascii="宋体" w:hAnsi="宋体" w:eastAsia="宋体"/>
          <w:b/>
        </w:rPr>
        <w:t>图 2. CAICS 五层结构与示例证据链</w:t>
      </w:r>
    </w:p>
    <w:p>
      <w:r>
        <w:rPr>
          <w:rFonts w:ascii="宋体" w:hAnsi="宋体" w:eastAsia="宋体"/>
          <w:b/>
        </w:rPr>
        <w:t>阶段 5：LLM 优先的 MECE 枚举标准化。</w:t>
      </w:r>
      <w:r>
        <w:t xml:space="preserve"> </w:t>
      </w:r>
      <w:r>
        <w:rPr>
          <w:rFonts w:ascii="宋体" w:hAnsi="宋体" w:eastAsia="宋体"/>
        </w:rPr>
        <w:t>五个自由文本字段（工序、设备、材料、工种、建筑结构）经</w:t>
      </w:r>
      <w:r>
        <w:t xml:space="preserve"> LLM </w:t>
      </w:r>
      <w:r>
        <w:rPr>
          <w:rFonts w:ascii="宋体" w:hAnsi="宋体" w:eastAsia="宋体"/>
        </w:rPr>
        <w:t>优先流程规范化：</w:t>
      </w:r>
      <w:r>
        <w:t xml:space="preserve">LLM </w:t>
      </w:r>
      <w:r>
        <w:rPr>
          <w:rFonts w:ascii="宋体" w:hAnsi="宋体" w:eastAsia="宋体"/>
        </w:rPr>
        <w:t>审视字段取值分布、设计</w:t>
      </w:r>
      <w:r>
        <w:t xml:space="preserve"> MECE </w:t>
      </w:r>
      <w:r>
        <w:rPr>
          <w:rFonts w:ascii="宋体" w:hAnsi="宋体" w:eastAsia="宋体"/>
        </w:rPr>
        <w:t>框架、映射全部观察值。表</w:t>
      </w:r>
      <w:r>
        <w:t xml:space="preserve"> 3 </w:t>
      </w:r>
      <w:r>
        <w:rPr>
          <w:rFonts w:ascii="宋体" w:hAnsi="宋体" w:eastAsia="宋体"/>
        </w:rPr>
        <w:t>报告所得枚举，并显式给出非空分母。</w:t>
      </w:r>
    </w:p>
    <w:p>
      <w:r>
        <w:rPr>
          <w:rFonts w:ascii="宋体" w:hAnsi="宋体" w:eastAsia="宋体"/>
          <w:b/>
        </w:rPr>
        <w:t>表 3. LLM 优先流程产出的 MECE 枚举</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字段</w:t>
            </w:r>
          </w:p>
        </w:tc>
        <w:tc>
          <w:tcPr>
            <w:tcW w:type="dxa" w:w="1728"/>
          </w:tcPr>
          <w:p>
            <w:r>
              <w:rPr>
                <w:b/>
              </w:rPr>
              <w:t>类别数</w:t>
            </w:r>
          </w:p>
        </w:tc>
        <w:tc>
          <w:tcPr>
            <w:tcW w:type="dxa" w:w="1728"/>
          </w:tcPr>
          <w:p>
            <w:r>
              <w:rPr>
                <w:b/>
              </w:rPr>
              <w:t>非空记录（占 2,623）</w:t>
            </w:r>
          </w:p>
        </w:tc>
        <w:tc>
          <w:tcPr>
            <w:tcW w:type="dxa" w:w="1728"/>
          </w:tcPr>
          <w:p>
            <w:r>
              <w:rPr>
                <w:b/>
              </w:rPr>
              <w:t>最大类别（占非空）</w:t>
            </w:r>
          </w:p>
        </w:tc>
        <w:tc>
          <w:tcPr>
            <w:tcW w:type="dxa" w:w="1728"/>
          </w:tcPr>
          <w:p>
            <w:r>
              <w:rPr>
                <w:b/>
              </w:rPr>
              <w:t>残余"其他"（占非空）</w:t>
            </w:r>
          </w:p>
        </w:tc>
      </w:tr>
      <w:tr>
        <w:tc>
          <w:tcPr>
            <w:tcW w:type="dxa" w:w="1728"/>
          </w:tcPr>
          <w:p>
            <w:r>
              <w:t>工序（WT）</w:t>
            </w:r>
          </w:p>
        </w:tc>
        <w:tc>
          <w:tcPr>
            <w:tcW w:type="dxa" w:w="1728"/>
          </w:tcPr>
          <w:p>
            <w:r>
              <w:t>11</w:t>
            </w:r>
          </w:p>
        </w:tc>
        <w:tc>
          <w:tcPr>
            <w:tcW w:type="dxa" w:w="1728"/>
          </w:tcPr>
          <w:p>
            <w:r>
              <w:t>2,202（83.9%）</w:t>
            </w:r>
          </w:p>
        </w:tc>
        <w:tc>
          <w:tcPr>
            <w:tcW w:type="dxa" w:w="1728"/>
          </w:tcPr>
          <w:p>
            <w:r>
              <w:t>WT02 主体结构工程（397，18.0%）</w:t>
            </w:r>
          </w:p>
        </w:tc>
        <w:tc>
          <w:tcPr>
            <w:tcW w:type="dxa" w:w="1728"/>
          </w:tcPr>
          <w:p>
            <w:r>
              <w:t>2.9%</w:t>
            </w:r>
          </w:p>
        </w:tc>
      </w:tr>
      <w:tr>
        <w:tc>
          <w:tcPr>
            <w:tcW w:type="dxa" w:w="1728"/>
          </w:tcPr>
          <w:p>
            <w:r>
              <w:t>涉事设备（EQP）</w:t>
            </w:r>
          </w:p>
        </w:tc>
        <w:tc>
          <w:tcPr>
            <w:tcW w:type="dxa" w:w="1728"/>
          </w:tcPr>
          <w:p>
            <w:r>
              <w:t>13</w:t>
            </w:r>
          </w:p>
        </w:tc>
        <w:tc>
          <w:tcPr>
            <w:tcW w:type="dxa" w:w="1728"/>
          </w:tcPr>
          <w:p>
            <w:r>
              <w:t>1,373（52.3%）</w:t>
            </w:r>
          </w:p>
        </w:tc>
        <w:tc>
          <w:tcPr>
            <w:tcW w:type="dxa" w:w="1728"/>
          </w:tcPr>
          <w:p>
            <w:r>
              <w:t>EQP01 起重机械（335，24.4%）</w:t>
            </w:r>
          </w:p>
        </w:tc>
        <w:tc>
          <w:tcPr>
            <w:tcW w:type="dxa" w:w="1728"/>
          </w:tcPr>
          <w:p>
            <w:r>
              <w:t>1.9%</w:t>
            </w:r>
          </w:p>
        </w:tc>
      </w:tr>
      <w:tr>
        <w:tc>
          <w:tcPr>
            <w:tcW w:type="dxa" w:w="1728"/>
          </w:tcPr>
          <w:p>
            <w:r>
              <w:t>涉事材料（MAT）</w:t>
            </w:r>
          </w:p>
        </w:tc>
        <w:tc>
          <w:tcPr>
            <w:tcW w:type="dxa" w:w="1728"/>
          </w:tcPr>
          <w:p>
            <w:r>
              <w:t>7</w:t>
            </w:r>
          </w:p>
        </w:tc>
        <w:tc>
          <w:tcPr>
            <w:tcW w:type="dxa" w:w="1728"/>
          </w:tcPr>
          <w:p>
            <w:r>
              <w:t>1,465（55.9%）</w:t>
            </w:r>
          </w:p>
        </w:tc>
        <w:tc>
          <w:tcPr>
            <w:tcW w:type="dxa" w:w="1728"/>
          </w:tcPr>
          <w:p>
            <w:r>
              <w:t>MAT01 混凝土及水泥制品（423，28.9%）</w:t>
            </w:r>
          </w:p>
        </w:tc>
        <w:tc>
          <w:tcPr>
            <w:tcW w:type="dxa" w:w="1728"/>
          </w:tcPr>
          <w:p>
            <w:r>
              <w:t>11.1%</w:t>
            </w:r>
          </w:p>
        </w:tc>
      </w:tr>
      <w:tr>
        <w:tc>
          <w:tcPr>
            <w:tcW w:type="dxa" w:w="1728"/>
          </w:tcPr>
          <w:p>
            <w:r>
              <w:t>工种（WKR）</w:t>
            </w:r>
          </w:p>
        </w:tc>
        <w:tc>
          <w:tcPr>
            <w:tcW w:type="dxa" w:w="1728"/>
          </w:tcPr>
          <w:p>
            <w:r>
              <w:t>13</w:t>
            </w:r>
          </w:p>
        </w:tc>
        <w:tc>
          <w:tcPr>
            <w:tcW w:type="dxa" w:w="1728"/>
          </w:tcPr>
          <w:p>
            <w:r>
              <w:t>1,905（72.6%）</w:t>
            </w:r>
          </w:p>
        </w:tc>
        <w:tc>
          <w:tcPr>
            <w:tcW w:type="dxa" w:w="1728"/>
          </w:tcPr>
          <w:p>
            <w:r>
              <w:t>WKR01 通用劳务工（928，48.7%）</w:t>
            </w:r>
          </w:p>
        </w:tc>
        <w:tc>
          <w:tcPr>
            <w:tcW w:type="dxa" w:w="1728"/>
          </w:tcPr>
          <w:p>
            <w:r>
              <w:t>6.3%</w:t>
            </w:r>
          </w:p>
        </w:tc>
      </w:tr>
      <w:tr>
        <w:tc>
          <w:tcPr>
            <w:tcW w:type="dxa" w:w="1728"/>
          </w:tcPr>
          <w:p>
            <w:r>
              <w:t>建筑结构（BLD）</w:t>
            </w:r>
          </w:p>
        </w:tc>
        <w:tc>
          <w:tcPr>
            <w:tcW w:type="dxa" w:w="1728"/>
          </w:tcPr>
          <w:p>
            <w:r>
              <w:t>12</w:t>
            </w:r>
          </w:p>
        </w:tc>
        <w:tc>
          <w:tcPr>
            <w:tcW w:type="dxa" w:w="1728"/>
          </w:tcPr>
          <w:p>
            <w:r>
              <w:t>359（13.7%）</w:t>
            </w:r>
          </w:p>
        </w:tc>
        <w:tc>
          <w:tcPr>
            <w:tcW w:type="dxa" w:w="1728"/>
          </w:tcPr>
          <w:p>
            <w:r>
              <w:t>BLD01 钢结构（127，35.4%）</w:t>
            </w:r>
          </w:p>
        </w:tc>
        <w:tc>
          <w:tcPr>
            <w:tcW w:type="dxa" w:w="1728"/>
          </w:tcPr>
          <w:p>
            <w:r>
              <w:t>3.6%</w:t>
            </w:r>
          </w:p>
        </w:tc>
      </w:tr>
    </w:tbl>
    <w:p>
      <w:r>
        <w:rPr>
          <w:rFonts w:ascii="宋体" w:hAnsi="宋体" w:eastAsia="宋体"/>
          <w:b/>
        </w:rPr>
        <w:t>阶段 6：存储与访问。</w:t>
      </w:r>
      <w:r>
        <w:t xml:space="preserve"> </w:t>
      </w:r>
      <w:r>
        <w:rPr>
          <w:rFonts w:ascii="宋体" w:hAnsi="宋体" w:eastAsia="宋体"/>
        </w:rPr>
        <w:t>全部产物存储于含九张表的</w:t>
      </w:r>
      <w:r>
        <w:t xml:space="preserve"> SQLite </w:t>
      </w:r>
      <w:r>
        <w:rPr>
          <w:rFonts w:ascii="宋体" w:hAnsi="宋体" w:eastAsia="宋体"/>
        </w:rPr>
        <w:t>数据库。交互式</w:t>
      </w:r>
      <w:r>
        <w:t xml:space="preserve"> Web </w:t>
      </w:r>
      <w:r>
        <w:rPr>
          <w:rFonts w:ascii="宋体" w:hAnsi="宋体" w:eastAsia="宋体"/>
        </w:rPr>
        <w:t>平台与</w:t>
      </w:r>
      <w:r>
        <w:t xml:space="preserve"> REST API </w:t>
      </w:r>
      <w:r>
        <w:rPr>
          <w:rFonts w:ascii="宋体" w:hAnsi="宋体" w:eastAsia="宋体"/>
        </w:rPr>
        <w:t>开放访问：用户可按事故类型、等级、地区、工序与致因编码筛选，并查看每条标注背后的证据（证据层级分开展示）。数据库与代码于论文发表后开放检查；此前可向作者索取。</w:t>
      </w:r>
    </w:p>
    <w:p>
      <w:pPr>
        <w:pStyle w:val="Heading2"/>
      </w:pPr>
      <w:r>
        <w:rPr>
          <w:color w:val="000000"/>
        </w:rPr>
        <w:t xml:space="preserve">3.5 </w:t>
      </w:r>
      <w:r>
        <w:rPr>
          <w:rFonts w:ascii="宋体" w:hAnsi="宋体" w:eastAsia="宋体"/>
          <w:color w:val="000000"/>
        </w:rPr>
        <w:t>多模态扩展</w:t>
      </w:r>
    </w:p>
    <w:p>
      <w:r>
        <w:rPr>
          <w:rFonts w:ascii="宋体" w:hAnsi="宋体" w:eastAsia="宋体"/>
        </w:rPr>
        <w:t>文本之外，管道通过三个展示型模块增强记录：聚合搜索</w:t>
      </w:r>
      <w:r>
        <w:t xml:space="preserve"> API </w:t>
      </w:r>
      <w:r>
        <w:rPr>
          <w:rFonts w:ascii="宋体" w:hAnsi="宋体" w:eastAsia="宋体"/>
        </w:rPr>
        <w:t>的搜索增强（</w:t>
      </w:r>
      <w:r>
        <w:t xml:space="preserve">1,636 </w:t>
      </w:r>
      <w:r>
        <w:rPr>
          <w:rFonts w:ascii="宋体" w:hAnsi="宋体" w:eastAsia="宋体"/>
        </w:rPr>
        <w:t>条，</w:t>
      </w:r>
      <w:r>
        <w:t>62.4%</w:t>
      </w:r>
      <w:r>
        <w:t>）、零样本</w:t>
      </w:r>
      <w:r>
        <w:t xml:space="preserve"> CLIP </w:t>
      </w:r>
      <w:r>
        <w:rPr>
          <w:rFonts w:ascii="宋体" w:hAnsi="宋体" w:eastAsia="宋体"/>
        </w:rPr>
        <w:t>分类器过滤的图片采集（</w:t>
      </w:r>
      <w:r>
        <w:t xml:space="preserve">226 </w:t>
      </w:r>
      <w:r>
        <w:rPr>
          <w:rFonts w:ascii="宋体" w:hAnsi="宋体" w:eastAsia="宋体"/>
        </w:rPr>
        <w:t>张高于</w:t>
      </w:r>
      <w:r>
        <w:t xml:space="preserve"> 0.5 </w:t>
      </w:r>
      <w:r>
        <w:rPr>
          <w:rFonts w:ascii="宋体" w:hAnsi="宋体" w:eastAsia="宋体"/>
        </w:rPr>
        <w:t>相似度阈值）、以及</w:t>
      </w:r>
      <w:r>
        <w:t xml:space="preserve"> GLM-5V-Turbo </w:t>
      </w:r>
      <w:r>
        <w:rPr>
          <w:rFonts w:ascii="宋体" w:hAnsi="宋体" w:eastAsia="宋体"/>
        </w:rPr>
        <w:t>的两阶段</w:t>
      </w:r>
      <w:r>
        <w:t xml:space="preserve"> VLM </w:t>
      </w:r>
      <w:r>
        <w:rPr>
          <w:rFonts w:ascii="宋体" w:hAnsi="宋体" w:eastAsia="宋体"/>
        </w:rPr>
        <w:t>描述（</w:t>
      </w:r>
      <w:r>
        <w:t xml:space="preserve">282 </w:t>
      </w:r>
      <w:r>
        <w:rPr>
          <w:rFonts w:ascii="宋体" w:hAnsi="宋体" w:eastAsia="宋体"/>
        </w:rPr>
        <w:t>条分析覆盖</w:t>
      </w:r>
      <w:r>
        <w:t xml:space="preserve"> 176 </w:t>
      </w:r>
      <w:r>
        <w:rPr>
          <w:rFonts w:ascii="宋体" w:hAnsi="宋体" w:eastAsia="宋体"/>
        </w:rPr>
        <w:t>起事故）。这些模块是扩展而非经评估的贡献：图片源头质量约束</w:t>
      </w:r>
      <w:r>
        <w:t xml:space="preserve"> VLM </w:t>
      </w:r>
      <w:r>
        <w:rPr>
          <w:rFonts w:ascii="宋体" w:hAnsi="宋体" w:eastAsia="宋体"/>
        </w:rPr>
        <w:t>分析的贡献，描述作为补充材料呈现，而非经验证标注。</w:t>
      </w:r>
    </w:p>
    <w:p>
      <w:pPr>
        <w:pStyle w:val="Heading2"/>
      </w:pPr>
      <w:r>
        <w:rPr>
          <w:color w:val="000000"/>
        </w:rPr>
        <w:t xml:space="preserve">3.6 </w:t>
      </w:r>
      <w:r>
        <w:rPr>
          <w:rFonts w:ascii="宋体" w:hAnsi="宋体" w:eastAsia="宋体"/>
          <w:color w:val="000000"/>
        </w:rPr>
        <w:t>数据库统计</w:t>
      </w:r>
    </w:p>
    <w:p>
      <w:r>
        <w:rPr>
          <w:rFonts w:ascii="宋体" w:hAnsi="宋体" w:eastAsia="宋体"/>
        </w:rPr>
        <w:t>表</w:t>
      </w:r>
      <w:r>
        <w:t xml:space="preserve"> 4 </w:t>
      </w:r>
      <w:r>
        <w:rPr>
          <w:rFonts w:ascii="宋体" w:hAnsi="宋体" w:eastAsia="宋体"/>
        </w:rPr>
        <w:t>汇总数据库，全部计数与总量闭合。</w:t>
      </w:r>
    </w:p>
    <w:p>
      <w:r>
        <w:rPr>
          <w:rFonts w:ascii="宋体" w:hAnsi="宋体" w:eastAsia="宋体"/>
          <w:b/>
        </w:rPr>
        <w:t>表 4. 数据库统计</w:t>
      </w:r>
    </w:p>
    <w:tbl>
      <w:tblPr>
        <w:tblStyle w:val="LightGrid-Accent1"/>
        <w:tblW w:type="auto" w:w="0"/>
        <w:tblLook w:firstColumn="1" w:firstRow="1" w:lastColumn="0" w:lastRow="0" w:noHBand="0" w:noVBand="1" w:val="04A0"/>
      </w:tblPr>
      <w:tblGrid>
        <w:gridCol w:w="4320"/>
        <w:gridCol w:w="4320"/>
      </w:tblGrid>
      <w:tr>
        <w:tc>
          <w:tcPr>
            <w:tcW w:type="dxa" w:w="4320"/>
          </w:tcPr>
          <w:p>
            <w:r>
              <w:rPr>
                <w:b/>
              </w:rPr>
              <w:t>维度</w:t>
            </w:r>
          </w:p>
        </w:tc>
        <w:tc>
          <w:tcPr>
            <w:tcW w:type="dxa" w:w="4320"/>
          </w:tcPr>
          <w:p>
            <w:r>
              <w:rPr>
                <w:b/>
              </w:rPr>
              <w:t>数值</w:t>
            </w:r>
          </w:p>
        </w:tc>
      </w:tr>
      <w:tr>
        <w:tc>
          <w:tcPr>
            <w:tcW w:type="dxa" w:w="4320"/>
          </w:tcPr>
          <w:p>
            <w:r>
              <w:t>事故记录</w:t>
            </w:r>
          </w:p>
        </w:tc>
        <w:tc>
          <w:tcPr>
            <w:tcW w:type="dxa" w:w="4320"/>
          </w:tcPr>
          <w:p>
            <w:r>
              <w:t>2,623</w:t>
            </w:r>
          </w:p>
        </w:tc>
      </w:tr>
      <w:tr>
        <w:tc>
          <w:tcPr>
            <w:tcW w:type="dxa" w:w="4320"/>
          </w:tcPr>
          <w:p>
            <w:r>
              <w:t>时间跨度</w:t>
            </w:r>
          </w:p>
        </w:tc>
        <w:tc>
          <w:tcPr>
            <w:tcW w:type="dxa" w:w="4320"/>
          </w:tcPr>
          <w:p>
            <w:r>
              <w:t>1978-08 至 2026-06（1991–2004 无记录）</w:t>
            </w:r>
          </w:p>
        </w:tc>
      </w:tr>
      <w:tr>
        <w:tc>
          <w:tcPr>
            <w:tcW w:type="dxa" w:w="4320"/>
          </w:tcPr>
          <w:p>
            <w:r>
              <w:t>事故类型</w:t>
            </w:r>
          </w:p>
        </w:tc>
        <w:tc>
          <w:tcPr>
            <w:tcW w:type="dxa" w:w="4320"/>
          </w:tcPr>
          <w:p>
            <w:r>
              <w:t>12 类，2,617 条有标注（坍塌 1,092；高处坠落 570；起重伤害 225；土方坍塌 222；触电 160；物体打击 119；其他 50；火灾爆炸 47；机械伤害 46；中毒窒息 41；车辆伤害 38；淹溺 7）；6 条未标注</w:t>
            </w:r>
          </w:p>
        </w:tc>
      </w:tr>
      <w:tr>
        <w:tc>
          <w:tcPr>
            <w:tcW w:type="dxa" w:w="4320"/>
          </w:tcPr>
          <w:p>
            <w:r>
              <w:t>事故等级</w:t>
            </w:r>
          </w:p>
        </w:tc>
        <w:tc>
          <w:tcPr>
            <w:tcW w:type="dxa" w:w="4320"/>
          </w:tcPr>
          <w:p>
            <w:r>
              <w:t>一般 1,889；较大 672；重大 53；特别重大 8；1 条未标注</w:t>
            </w:r>
          </w:p>
        </w:tc>
      </w:tr>
      <w:tr>
        <w:tc>
          <w:tcPr>
            <w:tcW w:type="dxa" w:w="4320"/>
          </w:tcPr>
          <w:p>
            <w:r>
              <w:t>伤亡</w:t>
            </w:r>
          </w:p>
        </w:tc>
        <w:tc>
          <w:tcPr>
            <w:tcW w:type="dxa" w:w="4320"/>
          </w:tcPr>
          <w:p>
            <w:r>
              <w:t>死亡 5,894；受伤 5,796</w:t>
            </w:r>
          </w:p>
        </w:tc>
      </w:tr>
      <w:tr>
        <w:tc>
          <w:tcPr>
            <w:tcW w:type="dxa" w:w="4320"/>
          </w:tcPr>
          <w:p>
            <w:r>
              <w:t>致因标注</w:t>
            </w:r>
          </w:p>
        </w:tc>
        <w:tc>
          <w:tcPr>
            <w:tcW w:type="dxa" w:w="4320"/>
          </w:tcPr>
          <w:p>
            <w:r>
              <w:t>16,323 条（explicit 14,784 / inferred 1,117 / prior 422）</w:t>
            </w:r>
          </w:p>
        </w:tc>
      </w:tr>
      <w:tr>
        <w:tc>
          <w:tcPr>
            <w:tcW w:type="dxa" w:w="4320"/>
          </w:tcPr>
          <w:p>
            <w:r>
              <w:t>搜索增强记录</w:t>
            </w:r>
          </w:p>
        </w:tc>
        <w:tc>
          <w:tcPr>
            <w:tcW w:type="dxa" w:w="4320"/>
          </w:tcPr>
          <w:p>
            <w:r>
              <w:t>1,636</w:t>
            </w:r>
          </w:p>
        </w:tc>
      </w:tr>
      <w:tr>
        <w:tc>
          <w:tcPr>
            <w:tcW w:type="dxa" w:w="4320"/>
          </w:tcPr>
          <w:p>
            <w:r>
              <w:t>CLIP 过滤图片</w:t>
            </w:r>
          </w:p>
        </w:tc>
        <w:tc>
          <w:tcPr>
            <w:tcW w:type="dxa" w:w="4320"/>
          </w:tcPr>
          <w:p>
            <w:r>
              <w:t>226</w:t>
            </w:r>
          </w:p>
        </w:tc>
      </w:tr>
      <w:tr>
        <w:tc>
          <w:tcPr>
            <w:tcW w:type="dxa" w:w="4320"/>
          </w:tcPr>
          <w:p>
            <w:r>
              <w:t>VLM 分析</w:t>
            </w:r>
          </w:p>
        </w:tc>
        <w:tc>
          <w:tcPr>
            <w:tcW w:type="dxa" w:w="4320"/>
          </w:tcPr>
          <w:p>
            <w:r>
              <w:t>282 条 / 176 起事故</w:t>
            </w:r>
          </w:p>
        </w:tc>
      </w:tr>
    </w:tbl>
    <w:p>
      <w:r>
        <w:rPr>
          <w:rFonts w:ascii="宋体" w:hAnsi="宋体" w:eastAsia="宋体"/>
        </w:rPr>
        <w:t>图</w:t>
      </w:r>
      <w:r>
        <w:t xml:space="preserve"> 3 </w:t>
      </w:r>
      <w:r>
        <w:rPr>
          <w:rFonts w:ascii="宋体" w:hAnsi="宋体" w:eastAsia="宋体"/>
        </w:rPr>
        <w:t>展示十九个</w:t>
      </w:r>
      <w:r>
        <w:t xml:space="preserve"> CAICS </w:t>
      </w:r>
      <w:r>
        <w:rPr>
          <w:rFonts w:ascii="宋体" w:hAnsi="宋体" w:eastAsia="宋体"/>
        </w:rPr>
        <w:t>类别的标注分布；高频编码（</w:t>
      </w:r>
      <w:r>
        <w:t xml:space="preserve">M1 </w:t>
      </w:r>
      <w:r>
        <w:rPr>
          <w:rFonts w:ascii="宋体" w:hAnsi="宋体" w:eastAsia="宋体"/>
        </w:rPr>
        <w:t>监管缺失、</w:t>
      </w:r>
      <w:r>
        <w:t xml:space="preserve">H1 </w:t>
      </w:r>
      <w:r>
        <w:rPr>
          <w:rFonts w:ascii="宋体" w:hAnsi="宋体" w:eastAsia="宋体"/>
        </w:rPr>
        <w:t>违章操作、</w:t>
      </w:r>
      <w:r>
        <w:t xml:space="preserve">H3 </w:t>
      </w:r>
      <w:r>
        <w:rPr>
          <w:rFonts w:ascii="宋体" w:hAnsi="宋体" w:eastAsia="宋体"/>
        </w:rPr>
        <w:t>风险辨识失败）部分反映生产提示授权的先验推断，这也是总量旁并列分层细目的原因。</w:t>
      </w:r>
    </w:p>
    <w:p>
      <w:pPr>
        <w:jc w:val="center"/>
      </w:pPr>
      <w:r>
        <w:drawing>
          <wp:inline xmlns:a="http://schemas.openxmlformats.org/drawingml/2006/main" xmlns:pic="http://schemas.openxmlformats.org/drawingml/2006/picture">
            <wp:extent cx="5486400" cy="3720090"/>
            <wp:docPr id="3" name="Picture 3"/>
            <wp:cNvGraphicFramePr>
              <a:graphicFrameLocks noChangeAspect="1"/>
            </wp:cNvGraphicFramePr>
            <a:graphic>
              <a:graphicData uri="http://schemas.openxmlformats.org/drawingml/2006/picture">
                <pic:pic>
                  <pic:nvPicPr>
                    <pic:cNvPr id="0" name="fig3_code_dist.png"/>
                    <pic:cNvPicPr/>
                  </pic:nvPicPr>
                  <pic:blipFill>
                    <a:blip r:embed="rId11"/>
                    <a:stretch>
                      <a:fillRect/>
                    </a:stretch>
                  </pic:blipFill>
                  <pic:spPr>
                    <a:xfrm>
                      <a:off x="0" y="0"/>
                      <a:ext cx="5486400" cy="3720090"/>
                    </a:xfrm>
                    <a:prstGeom prst="rect"/>
                  </pic:spPr>
                </pic:pic>
              </a:graphicData>
            </a:graphic>
          </wp:inline>
        </w:drawing>
      </w:r>
    </w:p>
    <w:p>
      <w:r>
        <w:rPr>
          <w:rFonts w:ascii="宋体" w:hAnsi="宋体" w:eastAsia="宋体"/>
          <w:b/>
        </w:rPr>
        <w:t>图 3. 十九个 CAICS 类别的致因标注分布</w:t>
      </w:r>
    </w:p>
    <w:p>
      <w:pPr>
        <w:pStyle w:val="Heading1"/>
      </w:pPr>
      <w:r>
        <w:rPr>
          <w:color w:val="000000"/>
          <w:sz w:val="28"/>
        </w:rPr>
        <w:t xml:space="preserve">4. </w:t>
      </w:r>
      <w:r>
        <w:rPr>
          <w:rFonts w:ascii="宋体" w:hAnsi="宋体" w:eastAsia="宋体"/>
          <w:color w:val="000000"/>
          <w:sz w:val="28"/>
        </w:rPr>
        <w:t>实验评估</w:t>
      </w:r>
    </w:p>
    <w:p>
      <w:r>
        <w:rPr>
          <w:rFonts w:ascii="宋体" w:hAnsi="宋体" w:eastAsia="宋体"/>
        </w:rPr>
        <w:t>评估以明确声明口径回答三个问题：管道在其实际成本约束下应采用哪个骨干模型（</w:t>
      </w:r>
      <w:r>
        <w:t xml:space="preserve">4.3 </w:t>
      </w:r>
      <w:r>
        <w:rPr>
          <w:rFonts w:ascii="宋体" w:hAnsi="宋体" w:eastAsia="宋体"/>
        </w:rPr>
        <w:t>节）；致因编码提示应如何措辞（</w:t>
      </w:r>
      <w:r>
        <w:t xml:space="preserve">4.4 </w:t>
      </w:r>
      <w:r>
        <w:rPr>
          <w:rFonts w:ascii="宋体" w:hAnsi="宋体" w:eastAsia="宋体"/>
        </w:rPr>
        <w:t>节）；</w:t>
      </w:r>
      <w:r>
        <w:t xml:space="preserve">LLM </w:t>
      </w:r>
      <w:r>
        <w:rPr>
          <w:rFonts w:ascii="宋体" w:hAnsi="宋体" w:eastAsia="宋体"/>
        </w:rPr>
        <w:t>的基础字段标注是否与受训人工标注者一致（</w:t>
      </w:r>
      <w:r>
        <w:t xml:space="preserve">4.5 </w:t>
      </w:r>
      <w:r>
        <w:rPr>
          <w:rFonts w:ascii="宋体" w:hAnsi="宋体" w:eastAsia="宋体"/>
        </w:rPr>
        <w:t>节）。</w:t>
      </w:r>
      <w:r>
        <w:t xml:space="preserve">4.1 </w:t>
      </w:r>
      <w:r>
        <w:rPr>
          <w:rFonts w:ascii="宋体" w:hAnsi="宋体" w:eastAsia="宋体"/>
        </w:rPr>
        <w:t>与</w:t>
      </w:r>
      <w:r>
        <w:t xml:space="preserve"> 4.2 </w:t>
      </w:r>
      <w:r>
        <w:rPr>
          <w:rFonts w:ascii="宋体" w:hAnsi="宋体" w:eastAsia="宋体"/>
        </w:rPr>
        <w:t>节定义数据集与指标。</w:t>
      </w:r>
    </w:p>
    <w:p>
      <w:pPr>
        <w:pStyle w:val="Heading2"/>
      </w:pPr>
      <w:r>
        <w:rPr>
          <w:color w:val="000000"/>
        </w:rPr>
        <w:t xml:space="preserve">4.1 </w:t>
      </w:r>
      <w:r>
        <w:rPr>
          <w:rFonts w:ascii="宋体" w:hAnsi="宋体" w:eastAsia="宋体"/>
          <w:color w:val="000000"/>
        </w:rPr>
        <w:t>数据集与抽样</w:t>
      </w:r>
    </w:p>
    <w:p>
      <w:r>
        <w:rPr>
          <w:rFonts w:ascii="宋体" w:hAnsi="宋体" w:eastAsia="宋体"/>
          <w:b/>
        </w:rPr>
        <w:t>全量语料。</w:t>
      </w:r>
      <w:r>
        <w:t xml:space="preserve"> </w:t>
      </w:r>
      <w:r>
        <w:rPr>
          <w:rFonts w:ascii="宋体" w:hAnsi="宋体" w:eastAsia="宋体"/>
        </w:rPr>
        <w:t>管道产出</w:t>
      </w:r>
      <w:r>
        <w:t xml:space="preserve"> 2,623 </w:t>
      </w:r>
      <w:r>
        <w:rPr>
          <w:rFonts w:ascii="宋体" w:hAnsi="宋体" w:eastAsia="宋体"/>
        </w:rPr>
        <w:t>条单事故记录，跨</w:t>
      </w:r>
      <w:r>
        <w:t xml:space="preserve"> 1978–2026 </w:t>
      </w:r>
      <w:r>
        <w:rPr>
          <w:rFonts w:ascii="宋体" w:hAnsi="宋体" w:eastAsia="宋体"/>
        </w:rPr>
        <w:t>年，含</w:t>
      </w:r>
      <w:r>
        <w:t xml:space="preserve"> 33 </w:t>
      </w:r>
      <w:r>
        <w:rPr>
          <w:rFonts w:ascii="宋体" w:hAnsi="宋体" w:eastAsia="宋体"/>
        </w:rPr>
        <w:t>字段与</w:t>
      </w:r>
      <w:r>
        <w:t xml:space="preserve"> 16,323 </w:t>
      </w:r>
      <w:r>
        <w:rPr>
          <w:rFonts w:ascii="宋体" w:hAnsi="宋体" w:eastAsia="宋体"/>
        </w:rPr>
        <w:t>条分层致因标注。语料由网络采集轨（</w:t>
      </w:r>
      <w:r>
        <w:t xml:space="preserve">1,728 </w:t>
      </w:r>
      <w:r>
        <w:rPr>
          <w:rFonts w:ascii="宋体" w:hAnsi="宋体" w:eastAsia="宋体"/>
        </w:rPr>
        <w:t>条）与文献数字化轨（</w:t>
      </w:r>
      <w:r>
        <w:t xml:space="preserve">895 </w:t>
      </w:r>
      <w:r>
        <w:rPr>
          <w:rFonts w:ascii="宋体" w:hAnsi="宋体" w:eastAsia="宋体"/>
        </w:rPr>
        <w:t>条）构成；</w:t>
      </w:r>
      <w:r>
        <w:t xml:space="preserve">3.2 </w:t>
      </w:r>
      <w:r>
        <w:rPr>
          <w:rFonts w:ascii="宋体" w:hAnsi="宋体" w:eastAsia="宋体"/>
        </w:rPr>
        <w:t>节报告其构成与构建方式，包括</w:t>
      </w:r>
      <w:r>
        <w:t xml:space="preserve"> 1991–2004 </w:t>
      </w:r>
      <w:r>
        <w:rPr>
          <w:rFonts w:ascii="宋体" w:hAnsi="宋体" w:eastAsia="宋体"/>
        </w:rPr>
        <w:t>年的断代。</w:t>
      </w:r>
    </w:p>
    <w:p>
      <w:r>
        <w:rPr>
          <w:rFonts w:ascii="宋体" w:hAnsi="宋体" w:eastAsia="宋体"/>
          <w:b/>
        </w:rPr>
        <w:t>银标准。</w:t>
      </w:r>
      <w:r>
        <w:t xml:space="preserve"> 972 </w:t>
      </w:r>
      <w:r>
        <w:rPr>
          <w:rFonts w:ascii="宋体" w:hAnsi="宋体" w:eastAsia="宋体"/>
        </w:rPr>
        <w:t>条银标准由管道版本一致构建，而非独立人工重标注：基础字段在两版本一致时直接采纳、不一致时规则裁决；致因维度标签取两版本输出的合并去重。我们显式陈述这一构建方式，因为它界定了银标准能认证什么：其可靠程度取决于两个来源版本的可靠程度，它不是独立人工金标准。银标准中致因维度为空表示该维度在原文未提及。一个</w:t>
      </w:r>
      <w:r>
        <w:t xml:space="preserve"> 100 </w:t>
      </w:r>
      <w:r>
        <w:rPr>
          <w:rFonts w:ascii="宋体" w:hAnsi="宋体" w:eastAsia="宋体"/>
        </w:rPr>
        <w:t>条子集获得了完全独立的人工验证：三位施工安全领域专家在</w:t>
      </w:r>
      <w:r>
        <w:t xml:space="preserve"> LabelStudio </w:t>
      </w:r>
      <w:r>
        <w:rPr>
          <w:rFonts w:ascii="宋体" w:hAnsi="宋体" w:eastAsia="宋体"/>
        </w:rPr>
        <w:t>平台上标注</w:t>
      </w:r>
      <w:r>
        <w:t xml:space="preserve"> CAICS </w:t>
      </w:r>
      <w:r>
        <w:rPr>
          <w:rFonts w:ascii="宋体" w:hAnsi="宋体" w:eastAsia="宋体"/>
        </w:rPr>
        <w:t>编码，</w:t>
      </w:r>
      <w:r>
        <w:t xml:space="preserve">Fleiss' kappa </w:t>
      </w:r>
      <w:r>
        <w:rPr>
          <w:rFonts w:ascii="宋体" w:hAnsi="宋体" w:eastAsia="宋体"/>
        </w:rPr>
        <w:t>在五层上介于</w:t>
      </w:r>
      <w:r>
        <w:t xml:space="preserve"> 0.859 </w:t>
      </w:r>
      <w:r>
        <w:rPr>
          <w:rFonts w:ascii="宋体" w:hAnsi="宋体" w:eastAsia="宋体"/>
        </w:rPr>
        <w:t>与</w:t>
      </w:r>
      <w:r>
        <w:t xml:space="preserve"> 1.000</w:t>
      </w:r>
      <w:r>
        <w:t>；该子集真值为三专家多数投票，平均每条</w:t>
      </w:r>
      <w:r>
        <w:t xml:space="preserve"> 5.1 </w:t>
      </w:r>
      <w:r>
        <w:rPr>
          <w:rFonts w:ascii="宋体" w:hAnsi="宋体" w:eastAsia="宋体"/>
        </w:rPr>
        <w:t>个编码。</w:t>
      </w:r>
    </w:p>
    <w:p>
      <w:r>
        <w:rPr>
          <w:rFonts w:ascii="宋体" w:hAnsi="宋体" w:eastAsia="宋体"/>
          <w:b/>
        </w:rPr>
        <w:t>评测样本。</w:t>
      </w:r>
    </w:p>
    <w:p>
      <w:r>
        <w:t xml:space="preserve">1. </w:t>
      </w:r>
      <w:r>
        <w:rPr>
          <w:i/>
        </w:rPr>
        <w:t>模型比较样本</w:t>
      </w:r>
      <w:r>
        <w:t>（</w:t>
      </w:r>
      <w:r>
        <w:t>n=200</w:t>
      </w:r>
      <w:r>
        <w:t>）。按事故类型分层（</w:t>
      </w:r>
      <w:r>
        <w:t xml:space="preserve">11 </w:t>
      </w:r>
      <w:r>
        <w:rPr>
          <w:rFonts w:ascii="宋体" w:hAnsi="宋体" w:eastAsia="宋体"/>
        </w:rPr>
        <w:t>类，每类至少</w:t>
      </w:r>
      <w:r>
        <w:t xml:space="preserve"> 3 </w:t>
      </w:r>
      <w:r>
        <w:rPr>
          <w:rFonts w:ascii="宋体" w:hAnsi="宋体" w:eastAsia="宋体"/>
        </w:rPr>
        <w:t>条）从银标准抽取。</w:t>
      </w:r>
    </w:p>
    <w:p>
      <w:r>
        <w:t xml:space="preserve">2. </w:t>
      </w:r>
      <w:r>
        <w:rPr>
          <w:i/>
        </w:rPr>
        <w:t>策略比较样本</w:t>
      </w:r>
      <w:r>
        <w:t>（</w:t>
      </w:r>
      <w:r>
        <w:t>n=100</w:t>
      </w:r>
      <w:r>
        <w:t>）。从银标准抽取，覆盖全部</w:t>
      </w:r>
      <w:r>
        <w:t xml:space="preserve"> 12 </w:t>
      </w:r>
      <w:r>
        <w:rPr>
          <w:rFonts w:ascii="宋体" w:hAnsi="宋体" w:eastAsia="宋体"/>
        </w:rPr>
        <w:t>种事故类型与</w:t>
      </w:r>
      <w:r>
        <w:t xml:space="preserve"> 19 </w:t>
      </w:r>
      <w:r>
        <w:rPr>
          <w:rFonts w:ascii="宋体" w:hAnsi="宋体" w:eastAsia="宋体"/>
        </w:rPr>
        <w:t>个</w:t>
      </w:r>
      <w:r>
        <w:t xml:space="preserve"> CAICS </w:t>
      </w:r>
      <w:r>
        <w:rPr>
          <w:rFonts w:ascii="宋体" w:hAnsi="宋体" w:eastAsia="宋体"/>
        </w:rPr>
        <w:t>类别；致因真值为上述三专家多数投票。</w:t>
      </w:r>
      <w:r>
        <w:rPr>
          <w:rFonts w:ascii="宋体" w:hAnsi="宋体" w:eastAsia="宋体"/>
          <w:b/>
        </w:rPr>
        <w:t>口径声明</w:t>
      </w:r>
      <w:r>
        <w:t>：该样本承担了提示开发</w:t>
      </w:r>
      <w:r>
        <w:t>——</w:t>
      </w:r>
      <w:r>
        <w:rPr>
          <w:rFonts w:ascii="宋体" w:hAnsi="宋体" w:eastAsia="宋体"/>
        </w:rPr>
        <w:t>发现</w:t>
      </w:r>
      <w:r>
        <w:t xml:space="preserve"> v1 </w:t>
      </w:r>
      <w:r>
        <w:rPr>
          <w:rFonts w:ascii="宋体" w:hAnsi="宋体" w:eastAsia="宋体"/>
        </w:rPr>
        <w:t>召回问题、分析错误类别、设计</w:t>
      </w:r>
      <w:r>
        <w:t xml:space="preserve"> v2</w:t>
      </w:r>
      <w:r>
        <w:t>、运行消融、选定生产配置。开发与最终报告共用同一样本，因此策略结果带有开发集复用风险；三个少样本示例取自同一银标准，未按显式流程与测试记录隔离。所报数字最好解读为开发评估，而非冻结测试集认证。</w:t>
      </w:r>
    </w:p>
    <w:p>
      <w:r>
        <w:t xml:space="preserve">3. </w:t>
      </w:r>
      <w:r>
        <w:rPr>
          <w:i/>
        </w:rPr>
        <w:t>一致性样本</w:t>
      </w:r>
      <w:r>
        <w:t>（</w:t>
      </w:r>
      <w:r>
        <w:t>n=289</w:t>
      </w:r>
      <w:r>
        <w:t>）。两阶段分层抽样（事故类型</w:t>
      </w:r>
      <w:r>
        <w:t xml:space="preserve"> × </w:t>
      </w:r>
      <w:r>
        <w:rPr>
          <w:rFonts w:ascii="宋体" w:hAnsi="宋体" w:eastAsia="宋体"/>
        </w:rPr>
        <w:t>等级，比例分配、每格保底</w:t>
      </w:r>
      <w:r>
        <w:t xml:space="preserve"> 2 </w:t>
      </w:r>
      <w:r>
        <w:rPr>
          <w:rFonts w:ascii="宋体" w:hAnsi="宋体" w:eastAsia="宋体"/>
        </w:rPr>
        <w:t>条）从</w:t>
      </w:r>
      <w:r>
        <w:t xml:space="preserve"> 2,623 </w:t>
      </w:r>
      <w:r>
        <w:rPr>
          <w:rFonts w:ascii="宋体" w:hAnsi="宋体" w:eastAsia="宋体"/>
        </w:rPr>
        <w:t>条全量语料抽取</w:t>
      </w:r>
      <w:r>
        <w:t>——</w:t>
      </w:r>
      <w:r>
        <w:rPr>
          <w:rFonts w:ascii="宋体" w:hAnsi="宋体" w:eastAsia="宋体"/>
        </w:rPr>
        <w:t>而非银标准。一名受训标注者（安全工程研究生）经</w:t>
      </w:r>
      <w:r>
        <w:t xml:space="preserve"> LabelStudio </w:t>
      </w:r>
      <w:r>
        <w:rPr>
          <w:rFonts w:ascii="宋体" w:hAnsi="宋体" w:eastAsia="宋体"/>
        </w:rPr>
        <w:t>标注六项基础特征（事故类型、等级、省份、死亡人数、受伤人数、日期），标注过程未接触管道的抽取值。原</w:t>
      </w:r>
      <w:r>
        <w:t xml:space="preserve"> 300 </w:t>
      </w:r>
      <w:r>
        <w:rPr>
          <w:rFonts w:ascii="宋体" w:hAnsi="宋体" w:eastAsia="宋体"/>
        </w:rPr>
        <w:t>条中</w:t>
      </w:r>
      <w:r>
        <w:t xml:space="preserve"> 11 </w:t>
      </w:r>
      <w:r>
        <w:rPr>
          <w:rFonts w:ascii="宋体" w:hAnsi="宋体" w:eastAsia="宋体"/>
        </w:rPr>
        <w:t>条因多事故文本被排除。</w:t>
      </w:r>
    </w:p>
    <w:p>
      <w:r>
        <w:rPr>
          <w:rFonts w:ascii="宋体" w:hAnsi="宋体" w:eastAsia="宋体"/>
        </w:rPr>
        <w:t>图</w:t>
      </w:r>
      <w:r>
        <w:t xml:space="preserve"> 4 </w:t>
      </w:r>
      <w:r>
        <w:rPr>
          <w:rFonts w:ascii="宋体" w:hAnsi="宋体" w:eastAsia="宋体"/>
        </w:rPr>
        <w:t>汇总样本层级。</w:t>
      </w:r>
    </w:p>
    <w:p>
      <w:pPr>
        <w:jc w:val="center"/>
      </w:pPr>
      <w:r>
        <w:drawing>
          <wp:inline xmlns:a="http://schemas.openxmlformats.org/drawingml/2006/main" xmlns:pic="http://schemas.openxmlformats.org/drawingml/2006/picture">
            <wp:extent cx="5486400" cy="3344178"/>
            <wp:docPr id="4" name="Picture 4"/>
            <wp:cNvGraphicFramePr>
              <a:graphicFrameLocks noChangeAspect="1"/>
            </wp:cNvGraphicFramePr>
            <a:graphic>
              <a:graphicData uri="http://schemas.openxmlformats.org/drawingml/2006/picture">
                <pic:pic>
                  <pic:nvPicPr>
                    <pic:cNvPr id="0" name="fig4_sampling.png"/>
                    <pic:cNvPicPr/>
                  </pic:nvPicPr>
                  <pic:blipFill>
                    <a:blip r:embed="rId12"/>
                    <a:stretch>
                      <a:fillRect/>
                    </a:stretch>
                  </pic:blipFill>
                  <pic:spPr>
                    <a:xfrm>
                      <a:off x="0" y="0"/>
                      <a:ext cx="5486400" cy="3344178"/>
                    </a:xfrm>
                    <a:prstGeom prst="rect"/>
                  </pic:spPr>
                </pic:pic>
              </a:graphicData>
            </a:graphic>
          </wp:inline>
        </w:drawing>
      </w:r>
    </w:p>
    <w:p>
      <w:r>
        <w:rPr>
          <w:rFonts w:ascii="宋体" w:hAnsi="宋体" w:eastAsia="宋体"/>
          <w:b/>
        </w:rPr>
        <w:t>图 4. 数据集层级与三个评测样本</w:t>
      </w:r>
    </w:p>
    <w:p>
      <w:pPr>
        <w:pStyle w:val="Heading2"/>
      </w:pPr>
      <w:r>
        <w:rPr>
          <w:color w:val="000000"/>
        </w:rPr>
        <w:t xml:space="preserve">4.2 </w:t>
      </w:r>
      <w:r>
        <w:rPr>
          <w:rFonts w:ascii="宋体" w:hAnsi="宋体" w:eastAsia="宋体"/>
          <w:color w:val="000000"/>
        </w:rPr>
        <w:t>评测指标</w:t>
      </w:r>
    </w:p>
    <w:p>
      <w:r>
        <w:rPr>
          <w:rFonts w:ascii="宋体" w:hAnsi="宋体" w:eastAsia="宋体"/>
        </w:rPr>
        <w:t>基础字段抽取采用逐字段精确匹配准确率，地点字段做行政后缀归一化。致因编码按维度（管理、防线、触发、人的行为）计算精确率、召回率与</w:t>
      </w:r>
      <w:r>
        <w:t xml:space="preserve"> F1</w:t>
      </w:r>
      <w:r>
        <w:t>，采用</w:t>
      </w:r>
      <w:r>
        <w:t xml:space="preserve"> Liu et al. (2025a) </w:t>
      </w:r>
      <w:r>
        <w:rPr>
          <w:rFonts w:ascii="宋体" w:hAnsi="宋体" w:eastAsia="宋体"/>
        </w:rPr>
        <w:t>的维度级匹配定义；六策略对比另报百分位</w:t>
      </w:r>
      <w:r>
        <w:t xml:space="preserve"> bootstrap 95% </w:t>
      </w:r>
      <w:r>
        <w:rPr>
          <w:rFonts w:ascii="宋体" w:hAnsi="宋体" w:eastAsia="宋体"/>
        </w:rPr>
        <w:t>置信区间（</w:t>
      </w:r>
      <w:r>
        <w:t xml:space="preserve">1,000 </w:t>
      </w:r>
      <w:r>
        <w:rPr>
          <w:rFonts w:ascii="宋体" w:hAnsi="宋体" w:eastAsia="宋体"/>
        </w:rPr>
        <w:t>次重采样）。标注者一致性方面：分类字段用带</w:t>
      </w:r>
      <w:r>
        <w:t xml:space="preserve"> 95% </w:t>
      </w:r>
      <w:r>
        <w:rPr>
          <w:rFonts w:ascii="宋体" w:hAnsi="宋体" w:eastAsia="宋体"/>
        </w:rPr>
        <w:t>置信区间的</w:t>
      </w:r>
      <w:r>
        <w:t xml:space="preserve"> Cohen's kappa</w:t>
      </w:r>
      <w:r>
        <w:t>，计数字段用</w:t>
      </w:r>
      <w:r>
        <w:t xml:space="preserve"> ICC(2,1)</w:t>
      </w:r>
      <w:r>
        <w:t>，日期用年</w:t>
      </w:r>
      <w:r>
        <w:t>-</w:t>
      </w:r>
      <w:r>
        <w:rPr>
          <w:rFonts w:ascii="宋体" w:hAnsi="宋体" w:eastAsia="宋体"/>
        </w:rPr>
        <w:t>月匹配率</w:t>
      </w:r>
      <w:r>
        <w:t>——</w:t>
      </w:r>
      <w:r>
        <w:rPr>
          <w:rFonts w:ascii="宋体" w:hAnsi="宋体" w:eastAsia="宋体"/>
        </w:rPr>
        <w:t>三种统计量按各自名称报告，不以单一标签统称。</w:t>
      </w:r>
    </w:p>
    <w:p>
      <w:pPr>
        <w:pStyle w:val="Heading2"/>
      </w:pPr>
      <w:r>
        <w:rPr>
          <w:color w:val="000000"/>
        </w:rPr>
        <w:t xml:space="preserve">4.3 </w:t>
      </w:r>
      <w:r>
        <w:rPr>
          <w:rFonts w:ascii="宋体" w:hAnsi="宋体" w:eastAsia="宋体"/>
          <w:color w:val="000000"/>
        </w:rPr>
        <w:t>实验一：显式约束下的骨干选型</w:t>
      </w:r>
    </w:p>
    <w:p>
      <w:r>
        <w:rPr>
          <w:rFonts w:ascii="宋体" w:hAnsi="宋体" w:eastAsia="宋体"/>
        </w:rPr>
        <w:t>四个候选模型在模型比较样本上评测：</w:t>
      </w:r>
      <w:r>
        <w:t>DeepSeek V4</w:t>
      </w:r>
      <w:r>
        <w:t>、</w:t>
      </w:r>
      <w:r>
        <w:t>Qwen 3.7</w:t>
      </w:r>
      <w:r>
        <w:t>、</w:t>
      </w:r>
      <w:r>
        <w:t>GLM 5.2</w:t>
      </w:r>
      <w:r>
        <w:t>、</w:t>
      </w:r>
      <w:r>
        <w:t>Kimi K2.6</w:t>
      </w:r>
      <w:r>
        <w:t>，使用相同系统提示与三个少样本示例。各模型运行条件并非完全对等：</w:t>
      </w:r>
      <w:r>
        <w:t xml:space="preserve">Kimi K2.6 </w:t>
      </w:r>
      <w:r>
        <w:rPr>
          <w:rFonts w:ascii="宋体" w:hAnsi="宋体" w:eastAsia="宋体"/>
        </w:rPr>
        <w:t>按</w:t>
      </w:r>
      <w:r>
        <w:t xml:space="preserve"> API </w:t>
      </w:r>
      <w:r>
        <w:rPr>
          <w:rFonts w:ascii="宋体" w:hAnsi="宋体" w:eastAsia="宋体"/>
        </w:rPr>
        <w:t>规范强制</w:t>
      </w:r>
      <w:r>
        <w:t xml:space="preserve"> temperature 1.0</w:t>
      </w:r>
      <w:r>
        <w:t>；</w:t>
      </w:r>
      <w:r>
        <w:t xml:space="preserve">GLM 5.2 </w:t>
      </w:r>
      <w:r>
        <w:rPr>
          <w:rFonts w:ascii="宋体" w:hAnsi="宋体" w:eastAsia="宋体"/>
        </w:rPr>
        <w:t>因推理痕迹需</w:t>
      </w:r>
      <w:r>
        <w:t xml:space="preserve"> 16,384 token </w:t>
      </w:r>
      <w:r>
        <w:rPr>
          <w:rFonts w:ascii="宋体" w:hAnsi="宋体" w:eastAsia="宋体"/>
        </w:rPr>
        <w:t>输出预算；</w:t>
      </w:r>
      <w:r>
        <w:t xml:space="preserve">DeepSeek V4 </w:t>
      </w:r>
      <w:r>
        <w:rPr>
          <w:rFonts w:ascii="宋体" w:hAnsi="宋体" w:eastAsia="宋体"/>
        </w:rPr>
        <w:t>经提供商自动档位路由访问，运行日志中的请求标识覆盖其档位家族。由于这些差异，且每种配置仅运行一次，本实验定位为支持选型决策的约束性系统比较，而非一般性模型能力排名。</w:t>
      </w:r>
    </w:p>
    <w:p>
      <w:r>
        <w:rPr>
          <w:rFonts w:ascii="宋体" w:hAnsi="宋体" w:eastAsia="宋体"/>
        </w:rPr>
        <w:t>表</w:t>
      </w:r>
      <w:r>
        <w:t xml:space="preserve"> 5 </w:t>
      </w:r>
      <w:r>
        <w:rPr>
          <w:rFonts w:ascii="宋体" w:hAnsi="宋体" w:eastAsia="宋体"/>
        </w:rPr>
        <w:t>报告逐字段准确率。三个最强模型总体达</w:t>
      </w:r>
      <w:r>
        <w:t xml:space="preserve"> 91.2–91.5%</w:t>
      </w:r>
      <w:r>
        <w:t>，事故等级、死亡人数、省级地点普遍高准确。城市提取最难（</w:t>
      </w:r>
      <w:r>
        <w:t>81.5–88.0%</w:t>
      </w:r>
      <w:r>
        <w:t>）：中文报道常点名县级市而参考记录为上级地级市。</w:t>
      </w:r>
      <w:r>
        <w:t xml:space="preserve">Kimi K2.6 </w:t>
      </w:r>
      <w:r>
        <w:rPr>
          <w:rFonts w:ascii="宋体" w:hAnsi="宋体" w:eastAsia="宋体"/>
        </w:rPr>
        <w:t>大幅落后（</w:t>
      </w:r>
      <w:r>
        <w:t>63.9%</w:t>
      </w:r>
      <w:r>
        <w:t>），与其强制温度带来的输出不稳定一致。</w:t>
      </w:r>
    </w:p>
    <w:p>
      <w:r>
        <w:rPr>
          <w:rFonts w:ascii="宋体" w:hAnsi="宋体" w:eastAsia="宋体"/>
          <w:b/>
        </w:rPr>
        <w:t>表 5. 基础字段提取准确率（%），实验一</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字段</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事故类型</w:t>
            </w:r>
          </w:p>
        </w:tc>
        <w:tc>
          <w:tcPr>
            <w:tcW w:type="dxa" w:w="1728"/>
          </w:tcPr>
          <w:p>
            <w:r>
              <w:t>86.0</w:t>
            </w:r>
          </w:p>
        </w:tc>
        <w:tc>
          <w:tcPr>
            <w:tcW w:type="dxa" w:w="1728"/>
          </w:tcPr>
          <w:p>
            <w:r>
              <w:t>85.0</w:t>
            </w:r>
          </w:p>
        </w:tc>
        <w:tc>
          <w:tcPr>
            <w:tcW w:type="dxa" w:w="1728"/>
          </w:tcPr>
          <w:p>
            <w:r>
              <w:t>84.5</w:t>
            </w:r>
          </w:p>
        </w:tc>
        <w:tc>
          <w:tcPr>
            <w:tcW w:type="dxa" w:w="1728"/>
          </w:tcPr>
          <w:p>
            <w:r>
              <w:t>61.5</w:t>
            </w:r>
          </w:p>
        </w:tc>
      </w:tr>
      <w:tr>
        <w:tc>
          <w:tcPr>
            <w:tcW w:type="dxa" w:w="1728"/>
          </w:tcPr>
          <w:p>
            <w:r>
              <w:t>事故等级</w:t>
            </w:r>
          </w:p>
        </w:tc>
        <w:tc>
          <w:tcPr>
            <w:tcW w:type="dxa" w:w="1728"/>
          </w:tcPr>
          <w:p>
            <w:r>
              <w:t>98.0</w:t>
            </w:r>
          </w:p>
        </w:tc>
        <w:tc>
          <w:tcPr>
            <w:tcW w:type="dxa" w:w="1728"/>
          </w:tcPr>
          <w:p>
            <w:r>
              <w:t>90.5</w:t>
            </w:r>
          </w:p>
        </w:tc>
        <w:tc>
          <w:tcPr>
            <w:tcW w:type="dxa" w:w="1728"/>
          </w:tcPr>
          <w:p>
            <w:r>
              <w:t>97.5</w:t>
            </w:r>
          </w:p>
        </w:tc>
        <w:tc>
          <w:tcPr>
            <w:tcW w:type="dxa" w:w="1728"/>
          </w:tcPr>
          <w:p>
            <w:r>
              <w:t>69.5</w:t>
            </w:r>
          </w:p>
        </w:tc>
      </w:tr>
      <w:tr>
        <w:tc>
          <w:tcPr>
            <w:tcW w:type="dxa" w:w="1728"/>
          </w:tcPr>
          <w:p>
            <w:r>
              <w:t>死亡人数</w:t>
            </w:r>
          </w:p>
        </w:tc>
        <w:tc>
          <w:tcPr>
            <w:tcW w:type="dxa" w:w="1728"/>
          </w:tcPr>
          <w:p>
            <w:r>
              <w:t>96.0</w:t>
            </w:r>
          </w:p>
        </w:tc>
        <w:tc>
          <w:tcPr>
            <w:tcW w:type="dxa" w:w="1728"/>
          </w:tcPr>
          <w:p>
            <w:r>
              <w:t>96.0</w:t>
            </w:r>
          </w:p>
        </w:tc>
        <w:tc>
          <w:tcPr>
            <w:tcW w:type="dxa" w:w="1728"/>
          </w:tcPr>
          <w:p>
            <w:r>
              <w:t>97.0</w:t>
            </w:r>
          </w:p>
        </w:tc>
        <w:tc>
          <w:tcPr>
            <w:tcW w:type="dxa" w:w="1728"/>
          </w:tcPr>
          <w:p>
            <w:r>
              <w:t>68.5</w:t>
            </w:r>
          </w:p>
        </w:tc>
      </w:tr>
      <w:tr>
        <w:tc>
          <w:tcPr>
            <w:tcW w:type="dxa" w:w="1728"/>
          </w:tcPr>
          <w:p>
            <w:r>
              <w:t>受伤人数</w:t>
            </w:r>
          </w:p>
        </w:tc>
        <w:tc>
          <w:tcPr>
            <w:tcW w:type="dxa" w:w="1728"/>
          </w:tcPr>
          <w:p>
            <w:r>
              <w:t>90.0</w:t>
            </w:r>
          </w:p>
        </w:tc>
        <w:tc>
          <w:tcPr>
            <w:tcW w:type="dxa" w:w="1728"/>
          </w:tcPr>
          <w:p>
            <w:r>
              <w:t>91.0</w:t>
            </w:r>
          </w:p>
        </w:tc>
        <w:tc>
          <w:tcPr>
            <w:tcW w:type="dxa" w:w="1728"/>
          </w:tcPr>
          <w:p>
            <w:r>
              <w:t>91.0</w:t>
            </w:r>
          </w:p>
        </w:tc>
        <w:tc>
          <w:tcPr>
            <w:tcW w:type="dxa" w:w="1728"/>
          </w:tcPr>
          <w:p>
            <w:r>
              <w:t>58.5</w:t>
            </w:r>
          </w:p>
        </w:tc>
      </w:tr>
      <w:tr>
        <w:tc>
          <w:tcPr>
            <w:tcW w:type="dxa" w:w="1728"/>
          </w:tcPr>
          <w:p>
            <w:r>
              <w:t>省份</w:t>
            </w:r>
          </w:p>
        </w:tc>
        <w:tc>
          <w:tcPr>
            <w:tcW w:type="dxa" w:w="1728"/>
          </w:tcPr>
          <w:p>
            <w:r>
              <w:t>96.0</w:t>
            </w:r>
          </w:p>
        </w:tc>
        <w:tc>
          <w:tcPr>
            <w:tcW w:type="dxa" w:w="1728"/>
          </w:tcPr>
          <w:p>
            <w:r>
              <w:t>98.5</w:t>
            </w:r>
          </w:p>
        </w:tc>
        <w:tc>
          <w:tcPr>
            <w:tcW w:type="dxa" w:w="1728"/>
          </w:tcPr>
          <w:p>
            <w:r>
              <w:t>96.0</w:t>
            </w:r>
          </w:p>
        </w:tc>
        <w:tc>
          <w:tcPr>
            <w:tcW w:type="dxa" w:w="1728"/>
          </w:tcPr>
          <w:p>
            <w:r>
              <w:t>67.0</w:t>
            </w:r>
          </w:p>
        </w:tc>
      </w:tr>
      <w:tr>
        <w:tc>
          <w:tcPr>
            <w:tcW w:type="dxa" w:w="1728"/>
          </w:tcPr>
          <w:p>
            <w:r>
              <w:t>城市</w:t>
            </w:r>
          </w:p>
        </w:tc>
        <w:tc>
          <w:tcPr>
            <w:tcW w:type="dxa" w:w="1728"/>
          </w:tcPr>
          <w:p>
            <w:r>
              <w:t>81.5</w:t>
            </w:r>
          </w:p>
        </w:tc>
        <w:tc>
          <w:tcPr>
            <w:tcW w:type="dxa" w:w="1728"/>
          </w:tcPr>
          <w:p>
            <w:r>
              <w:t>88.0</w:t>
            </w:r>
          </w:p>
        </w:tc>
        <w:tc>
          <w:tcPr>
            <w:tcW w:type="dxa" w:w="1728"/>
          </w:tcPr>
          <w:p>
            <w:r>
              <w:t>83.0</w:t>
            </w:r>
          </w:p>
        </w:tc>
        <w:tc>
          <w:tcPr>
            <w:tcW w:type="dxa" w:w="1728"/>
          </w:tcPr>
          <w:p>
            <w:r>
              <w:t>58.5</w:t>
            </w:r>
          </w:p>
        </w:tc>
      </w:tr>
      <w:tr>
        <w:tc>
          <w:tcPr>
            <w:tcW w:type="dxa" w:w="1728"/>
          </w:tcPr>
          <w:p>
            <w:r>
              <w:t>总体</w:t>
            </w:r>
          </w:p>
        </w:tc>
        <w:tc>
          <w:tcPr>
            <w:tcW w:type="dxa" w:w="1728"/>
          </w:tcPr>
          <w:p>
            <w:r>
              <w:t>91.2</w:t>
            </w:r>
          </w:p>
        </w:tc>
        <w:tc>
          <w:tcPr>
            <w:tcW w:type="dxa" w:w="1728"/>
          </w:tcPr>
          <w:p>
            <w:r>
              <w:t>91.5</w:t>
            </w:r>
          </w:p>
        </w:tc>
        <w:tc>
          <w:tcPr>
            <w:tcW w:type="dxa" w:w="1728"/>
          </w:tcPr>
          <w:p>
            <w:r>
              <w:t>91.5</w:t>
            </w:r>
          </w:p>
        </w:tc>
        <w:tc>
          <w:tcPr>
            <w:tcW w:type="dxa" w:w="1728"/>
          </w:tcPr>
          <w:p>
            <w:r>
              <w:t>63.9</w:t>
            </w:r>
          </w:p>
        </w:tc>
      </w:tr>
    </w:tbl>
    <w:p>
      <w:r>
        <w:rPr>
          <w:rFonts w:ascii="宋体" w:hAnsi="宋体" w:eastAsia="宋体"/>
        </w:rPr>
        <w:t>表</w:t>
      </w:r>
      <w:r>
        <w:t xml:space="preserve"> 6 </w:t>
      </w:r>
      <w:r>
        <w:rPr>
          <w:rFonts w:ascii="宋体" w:hAnsi="宋体" w:eastAsia="宋体"/>
        </w:rPr>
        <w:t>报告按维度的致因编码表现。</w:t>
      </w:r>
      <w:r>
        <w:t xml:space="preserve">DeepSeek V4 </w:t>
      </w:r>
      <w:r>
        <w:rPr>
          <w:rFonts w:ascii="宋体" w:hAnsi="宋体" w:eastAsia="宋体"/>
        </w:rPr>
        <w:t>平均精确率最高（</w:t>
      </w:r>
      <w:r>
        <w:t>89.5%</w:t>
      </w:r>
      <w:r>
        <w:t>）、强模型间召回率最低（</w:t>
      </w:r>
      <w:r>
        <w:t>52.7%</w:t>
      </w:r>
      <w:r>
        <w:t>）；</w:t>
      </w:r>
      <w:r>
        <w:t xml:space="preserve">Qwen 3.7 </w:t>
      </w:r>
      <w:r>
        <w:rPr>
          <w:rFonts w:ascii="宋体" w:hAnsi="宋体" w:eastAsia="宋体"/>
        </w:rPr>
        <w:t>呈镜像取舍（精确</w:t>
      </w:r>
      <w:r>
        <w:t xml:space="preserve"> 78.0%</w:t>
      </w:r>
      <w:r>
        <w:t>、召回</w:t>
      </w:r>
      <w:r>
        <w:t xml:space="preserve"> 80.5%</w:t>
      </w:r>
      <w:r>
        <w:t>）。成本与延迟补全选型图景：</w:t>
      </w:r>
      <w:r>
        <w:t xml:space="preserve">200 </w:t>
      </w:r>
      <w:r>
        <w:rPr>
          <w:rFonts w:ascii="宋体" w:hAnsi="宋体" w:eastAsia="宋体"/>
        </w:rPr>
        <w:t>条记录成本</w:t>
      </w:r>
      <w:r>
        <w:t xml:space="preserve"> 0.13 </w:t>
      </w:r>
      <w:r>
        <w:rPr>
          <w:rFonts w:ascii="宋体" w:hAnsi="宋体" w:eastAsia="宋体"/>
        </w:rPr>
        <w:t>美元（</w:t>
      </w:r>
      <w:r>
        <w:t>DeepSeek V4</w:t>
      </w:r>
      <w:r>
        <w:t>）、</w:t>
      </w:r>
      <w:r>
        <w:t>0.43</w:t>
      </w:r>
      <w:r>
        <w:t>（</w:t>
      </w:r>
      <w:r>
        <w:t>Qwen 3.7</w:t>
      </w:r>
      <w:r>
        <w:t>）、</w:t>
      </w:r>
      <w:r>
        <w:t>2.91</w:t>
      </w:r>
      <w:r>
        <w:t>（</w:t>
      </w:r>
      <w:r>
        <w:t>GLM 5.2</w:t>
      </w:r>
      <w:r>
        <w:t>）、</w:t>
      </w:r>
      <w:r>
        <w:t>2.84</w:t>
      </w:r>
      <w:r>
        <w:t>（</w:t>
      </w:r>
      <w:r>
        <w:t>Kimi K2.6</w:t>
      </w:r>
      <w:r>
        <w:t>）；单条延迟</w:t>
      </w:r>
      <w:r>
        <w:t xml:space="preserve"> 9.8 </w:t>
      </w:r>
      <w:r>
        <w:rPr>
          <w:rFonts w:ascii="宋体" w:hAnsi="宋体" w:eastAsia="宋体"/>
        </w:rPr>
        <w:t>秒、</w:t>
      </w:r>
      <w:r>
        <w:t xml:space="preserve">8.6 </w:t>
      </w:r>
      <w:r>
        <w:rPr>
          <w:rFonts w:ascii="宋体" w:hAnsi="宋体" w:eastAsia="宋体"/>
        </w:rPr>
        <w:t>秒、</w:t>
      </w:r>
      <w:r>
        <w:t xml:space="preserve">27.0 </w:t>
      </w:r>
      <w:r>
        <w:rPr>
          <w:rFonts w:ascii="宋体" w:hAnsi="宋体" w:eastAsia="宋体"/>
        </w:rPr>
        <w:t>秒、</w:t>
      </w:r>
      <w:r>
        <w:t xml:space="preserve">74.9 </w:t>
      </w:r>
      <w:r>
        <w:rPr>
          <w:rFonts w:ascii="宋体" w:hAnsi="宋体" w:eastAsia="宋体"/>
        </w:rPr>
        <w:t>秒。管道采用</w:t>
      </w:r>
      <w:r>
        <w:t xml:space="preserve"> DeepSeek V4</w:t>
      </w:r>
      <w:r>
        <w:t>。</w:t>
      </w:r>
    </w:p>
    <w:p>
      <w:r>
        <w:rPr>
          <w:rFonts w:ascii="宋体" w:hAnsi="宋体" w:eastAsia="宋体"/>
          <w:b/>
        </w:rPr>
        <w:t>表 6. 致因编码精确率 / 召回率 / F1（%），按维度，实验一</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维度</w:t>
            </w:r>
          </w:p>
        </w:tc>
        <w:tc>
          <w:tcPr>
            <w:tcW w:type="dxa" w:w="1728"/>
          </w:tcPr>
          <w:p>
            <w:r>
              <w:rPr>
                <w:b/>
              </w:rPr>
              <w:t>DeepSeek V4</w:t>
            </w:r>
          </w:p>
        </w:tc>
        <w:tc>
          <w:tcPr>
            <w:tcW w:type="dxa" w:w="1728"/>
          </w:tcPr>
          <w:p>
            <w:r>
              <w:rPr>
                <w:b/>
              </w:rPr>
              <w:t>Qwen 3.7</w:t>
            </w:r>
          </w:p>
        </w:tc>
        <w:tc>
          <w:tcPr>
            <w:tcW w:type="dxa" w:w="1728"/>
          </w:tcPr>
          <w:p>
            <w:r>
              <w:rPr>
                <w:b/>
              </w:rPr>
              <w:t>GLM 5.2</w:t>
            </w:r>
          </w:p>
        </w:tc>
        <w:tc>
          <w:tcPr>
            <w:tcW w:type="dxa" w:w="1728"/>
          </w:tcPr>
          <w:p>
            <w:r>
              <w:rPr>
                <w:b/>
              </w:rPr>
              <w:t>Kimi K2.6</w:t>
            </w:r>
          </w:p>
        </w:tc>
      </w:tr>
      <w:tr>
        <w:tc>
          <w:tcPr>
            <w:tcW w:type="dxa" w:w="1728"/>
          </w:tcPr>
          <w:p>
            <w:r>
              <w:t>管理</w:t>
            </w:r>
          </w:p>
        </w:tc>
        <w:tc>
          <w:tcPr>
            <w:tcW w:type="dxa" w:w="1728"/>
          </w:tcPr>
          <w:p>
            <w:r>
              <w:t>89.9 / 54.9 / 68.1</w:t>
            </w:r>
          </w:p>
        </w:tc>
        <w:tc>
          <w:tcPr>
            <w:tcW w:type="dxa" w:w="1728"/>
          </w:tcPr>
          <w:p>
            <w:r>
              <w:t>67.5 / 95.6 / 79.1</w:t>
            </w:r>
          </w:p>
        </w:tc>
        <w:tc>
          <w:tcPr>
            <w:tcW w:type="dxa" w:w="1728"/>
          </w:tcPr>
          <w:p>
            <w:r>
              <w:t>92.3 / 63.7 / 75.4</w:t>
            </w:r>
          </w:p>
        </w:tc>
        <w:tc>
          <w:tcPr>
            <w:tcW w:type="dxa" w:w="1728"/>
          </w:tcPr>
          <w:p>
            <w:r>
              <w:t>97.6 / 36.3 / 52.9</w:t>
            </w:r>
          </w:p>
        </w:tc>
      </w:tr>
      <w:tr>
        <w:tc>
          <w:tcPr>
            <w:tcW w:type="dxa" w:w="1728"/>
          </w:tcPr>
          <w:p>
            <w:r>
              <w:t>防线</w:t>
            </w:r>
          </w:p>
        </w:tc>
        <w:tc>
          <w:tcPr>
            <w:tcW w:type="dxa" w:w="1728"/>
          </w:tcPr>
          <w:p>
            <w:r>
              <w:t>91.9 / 41.9 / 57.6</w:t>
            </w:r>
          </w:p>
        </w:tc>
        <w:tc>
          <w:tcPr>
            <w:tcW w:type="dxa" w:w="1728"/>
          </w:tcPr>
          <w:p>
            <w:r>
              <w:t>88.8 / 64.0 / 74.4</w:t>
            </w:r>
          </w:p>
        </w:tc>
        <w:tc>
          <w:tcPr>
            <w:tcW w:type="dxa" w:w="1728"/>
          </w:tcPr>
          <w:p>
            <w:r>
              <w:t>87.6 / 67.6 / 76.3</w:t>
            </w:r>
          </w:p>
        </w:tc>
        <w:tc>
          <w:tcPr>
            <w:tcW w:type="dxa" w:w="1728"/>
          </w:tcPr>
          <w:p>
            <w:r>
              <w:t>96.4 / 39.0 / 55.5</w:t>
            </w:r>
          </w:p>
        </w:tc>
      </w:tr>
      <w:tr>
        <w:tc>
          <w:tcPr>
            <w:tcW w:type="dxa" w:w="1728"/>
          </w:tcPr>
          <w:p>
            <w:r>
              <w:t>触发</w:t>
            </w:r>
          </w:p>
        </w:tc>
        <w:tc>
          <w:tcPr>
            <w:tcW w:type="dxa" w:w="1728"/>
          </w:tcPr>
          <w:p>
            <w:r>
              <w:t>81.0 / 69.4 / 74.7</w:t>
            </w:r>
          </w:p>
        </w:tc>
        <w:tc>
          <w:tcPr>
            <w:tcW w:type="dxa" w:w="1728"/>
          </w:tcPr>
          <w:p>
            <w:r>
              <w:t>72.4 / 85.7 / 78.5</w:t>
            </w:r>
          </w:p>
        </w:tc>
        <w:tc>
          <w:tcPr>
            <w:tcW w:type="dxa" w:w="1728"/>
          </w:tcPr>
          <w:p>
            <w:r>
              <w:t>73.9 / 69.4 / 71.6</w:t>
            </w:r>
          </w:p>
        </w:tc>
        <w:tc>
          <w:tcPr>
            <w:tcW w:type="dxa" w:w="1728"/>
          </w:tcPr>
          <w:p>
            <w:r>
              <w:t>81.5 / 44.9 / 57.9</w:t>
            </w:r>
          </w:p>
        </w:tc>
      </w:tr>
      <w:tr>
        <w:tc>
          <w:tcPr>
            <w:tcW w:type="dxa" w:w="1728"/>
          </w:tcPr>
          <w:p>
            <w:r>
              <w:t>人的行为</w:t>
            </w:r>
          </w:p>
        </w:tc>
        <w:tc>
          <w:tcPr>
            <w:tcW w:type="dxa" w:w="1728"/>
          </w:tcPr>
          <w:p>
            <w:r>
              <w:t>95.0 / 44.7 / 60.8</w:t>
            </w:r>
          </w:p>
        </w:tc>
        <w:tc>
          <w:tcPr>
            <w:tcW w:type="dxa" w:w="1728"/>
          </w:tcPr>
          <w:p>
            <w:r>
              <w:t>83.3 / 76.5 / 79.8</w:t>
            </w:r>
          </w:p>
        </w:tc>
        <w:tc>
          <w:tcPr>
            <w:tcW w:type="dxa" w:w="1728"/>
          </w:tcPr>
          <w:p>
            <w:r>
              <w:t>83.9 / 61.2 / 70.7</w:t>
            </w:r>
          </w:p>
        </w:tc>
        <w:tc>
          <w:tcPr>
            <w:tcW w:type="dxa" w:w="1728"/>
          </w:tcPr>
          <w:p>
            <w:r>
              <w:t>88.2 / 35.3 / 50.4</w:t>
            </w:r>
          </w:p>
        </w:tc>
      </w:tr>
      <w:tr>
        <w:tc>
          <w:tcPr>
            <w:tcW w:type="dxa" w:w="1728"/>
          </w:tcPr>
          <w:p>
            <w:r>
              <w:t>平均</w:t>
            </w:r>
          </w:p>
        </w:tc>
        <w:tc>
          <w:tcPr>
            <w:tcW w:type="dxa" w:w="1728"/>
          </w:tcPr>
          <w:p>
            <w:r>
              <w:t>89.5 / 52.7 / 65.3</w:t>
            </w:r>
          </w:p>
        </w:tc>
        <w:tc>
          <w:tcPr>
            <w:tcW w:type="dxa" w:w="1728"/>
          </w:tcPr>
          <w:p>
            <w:r>
              <w:t>78.0 / 80.5 / 78.0</w:t>
            </w:r>
          </w:p>
        </w:tc>
        <w:tc>
          <w:tcPr>
            <w:tcW w:type="dxa" w:w="1728"/>
          </w:tcPr>
          <w:p>
            <w:r>
              <w:t>84.4 / 65.5 / 73.5</w:t>
            </w:r>
          </w:p>
        </w:tc>
        <w:tc>
          <w:tcPr>
            <w:tcW w:type="dxa" w:w="1728"/>
          </w:tcPr>
          <w:p>
            <w:r>
              <w:t>90.9 / 38.9 / 54.2</w:t>
            </w:r>
          </w:p>
        </w:tc>
      </w:tr>
    </w:tbl>
    <w:p>
      <w:pPr>
        <w:pStyle w:val="Heading2"/>
      </w:pPr>
      <w:r>
        <w:rPr>
          <w:color w:val="000000"/>
        </w:rPr>
        <w:t xml:space="preserve">4.4 </w:t>
      </w:r>
      <w:r>
        <w:rPr>
          <w:rFonts w:ascii="宋体" w:hAnsi="宋体" w:eastAsia="宋体"/>
          <w:color w:val="000000"/>
        </w:rPr>
        <w:t>实验二：提示策略对比与词汇门控观察</w:t>
      </w:r>
    </w:p>
    <w:p>
      <w:pPr>
        <w:pStyle w:val="Heading3"/>
      </w:pPr>
      <w:r>
        <w:rPr>
          <w:color w:val="000000"/>
        </w:rPr>
        <w:t xml:space="preserve">4.4.1 </w:t>
      </w:r>
      <w:r>
        <w:rPr>
          <w:rFonts w:ascii="宋体" w:hAnsi="宋体" w:eastAsia="宋体"/>
          <w:color w:val="000000"/>
        </w:rPr>
        <w:t>实验设计</w:t>
      </w:r>
    </w:p>
    <w:p>
      <w:r>
        <w:rPr>
          <w:rFonts w:ascii="宋体" w:hAnsi="宋体" w:eastAsia="宋体"/>
        </w:rPr>
        <w:t>六种提示策略在策略样本（</w:t>
      </w:r>
      <w:r>
        <w:t>n=100</w:t>
      </w:r>
      <w:r>
        <w:t>，三专家多数投票真值）上以</w:t>
      </w:r>
      <w:r>
        <w:t xml:space="preserve"> DeepSeek V4</w:t>
      </w:r>
      <w:r>
        <w:t>（</w:t>
      </w:r>
      <w:r>
        <w:t>temperature 0.0</w:t>
      </w:r>
      <w:r>
        <w:t>）对比评测：</w:t>
      </w:r>
      <w:r>
        <w:t xml:space="preserve">S0 </w:t>
      </w:r>
      <w:r>
        <w:rPr>
          <w:rFonts w:ascii="宋体" w:hAnsi="宋体" w:eastAsia="宋体"/>
        </w:rPr>
        <w:t>基础零样本、</w:t>
      </w:r>
      <w:r>
        <w:t xml:space="preserve">S1 </w:t>
      </w:r>
      <w:r>
        <w:rPr>
          <w:rFonts w:ascii="宋体" w:hAnsi="宋体" w:eastAsia="宋体"/>
        </w:rPr>
        <w:t>基础少样本（三个专家标注示例）、</w:t>
      </w:r>
      <w:r>
        <w:t>S2 Auto-CoT</w:t>
      </w:r>
      <w:r>
        <w:t>、</w:t>
      </w:r>
      <w:r>
        <w:t xml:space="preserve">S3 </w:t>
      </w:r>
      <w:r>
        <w:rPr>
          <w:rFonts w:ascii="宋体" w:hAnsi="宋体" w:eastAsia="宋体"/>
        </w:rPr>
        <w:t>计划与求解、</w:t>
      </w:r>
      <w:r>
        <w:t>S4 CAICS-CoT</w:t>
      </w:r>
      <w:r>
        <w:t>（两步判断领域知识</w:t>
      </w:r>
      <w:r>
        <w:t xml:space="preserve"> CoT</w:t>
      </w:r>
      <w:r>
        <w:t>）、</w:t>
      </w:r>
      <w:r>
        <w:t>S5 CAICS-CoT+</w:t>
      </w:r>
      <w:r>
        <w:t>（带层间摘要注入的串行逐层调用）。附录</w:t>
      </w:r>
      <w:r>
        <w:t xml:space="preserve"> A </w:t>
      </w:r>
      <w:r>
        <w:rPr>
          <w:rFonts w:ascii="宋体" w:hAnsi="宋体" w:eastAsia="宋体"/>
        </w:rPr>
        <w:t>以压缩形式收录各提示。</w:t>
      </w:r>
    </w:p>
    <w:p>
      <w:r>
        <w:rPr>
          <w:rFonts w:ascii="宋体" w:hAnsi="宋体" w:eastAsia="宋体"/>
          <w:b/>
        </w:rPr>
        <w:t>表 7. 六种提示策略性能（多数投票真值，n=100）</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策略</w:t>
            </w:r>
          </w:p>
        </w:tc>
        <w:tc>
          <w:tcPr>
            <w:tcW w:type="dxa" w:w="1080"/>
          </w:tcPr>
          <w:p>
            <w:r>
              <w:rPr>
                <w:b/>
              </w:rPr>
              <w:t>平均 F1 [95% CI]</w:t>
            </w:r>
          </w:p>
        </w:tc>
        <w:tc>
          <w:tcPr>
            <w:tcW w:type="dxa" w:w="1080"/>
          </w:tcPr>
          <w:p>
            <w:r>
              <w:rPr>
                <w:b/>
              </w:rPr>
              <w:t>平均召回</w:t>
            </w:r>
          </w:p>
        </w:tc>
        <w:tc>
          <w:tcPr>
            <w:tcW w:type="dxa" w:w="1080"/>
          </w:tcPr>
          <w:p>
            <w:r>
              <w:rPr>
                <w:b/>
              </w:rPr>
              <w:t>平均精确</w:t>
            </w:r>
          </w:p>
        </w:tc>
        <w:tc>
          <w:tcPr>
            <w:tcW w:type="dxa" w:w="1080"/>
          </w:tcPr>
          <w:p>
            <w:r>
              <w:rPr>
                <w:b/>
              </w:rPr>
              <w:t>类型准确率</w:t>
            </w:r>
          </w:p>
        </w:tc>
        <w:tc>
          <w:tcPr>
            <w:tcW w:type="dxa" w:w="1080"/>
          </w:tcPr>
          <w:p>
            <w:r>
              <w:rPr>
                <w:b/>
              </w:rPr>
              <w:t>等级准确率</w:t>
            </w:r>
          </w:p>
        </w:tc>
        <w:tc>
          <w:tcPr>
            <w:tcW w:type="dxa" w:w="1080"/>
          </w:tcPr>
          <w:p>
            <w:r>
              <w:rPr>
                <w:b/>
              </w:rPr>
              <w:t>有效输出率</w:t>
            </w:r>
          </w:p>
        </w:tc>
        <w:tc>
          <w:tcPr>
            <w:tcW w:type="dxa" w:w="1080"/>
          </w:tcPr>
          <w:p>
            <w:r>
              <w:rPr>
                <w:b/>
              </w:rPr>
              <w:t>耗时(s)</w:t>
            </w:r>
          </w:p>
        </w:tc>
      </w:tr>
      <w:tr>
        <w:tc>
          <w:tcPr>
            <w:tcW w:type="dxa" w:w="1080"/>
          </w:tcPr>
          <w:p>
            <w:r>
              <w:t>S0 零样本</w:t>
            </w:r>
          </w:p>
        </w:tc>
        <w:tc>
          <w:tcPr>
            <w:tcW w:type="dxa" w:w="1080"/>
          </w:tcPr>
          <w:p>
            <w:r>
              <w:t>0.600 [0.520, 0.644]</w:t>
            </w:r>
          </w:p>
        </w:tc>
        <w:tc>
          <w:tcPr>
            <w:tcW w:type="dxa" w:w="1080"/>
          </w:tcPr>
          <w:p>
            <w:r>
              <w:t>0.515</w:t>
            </w:r>
          </w:p>
        </w:tc>
        <w:tc>
          <w:tcPr>
            <w:tcW w:type="dxa" w:w="1080"/>
          </w:tcPr>
          <w:p>
            <w:r>
              <w:t>0.808</w:t>
            </w:r>
          </w:p>
        </w:tc>
        <w:tc>
          <w:tcPr>
            <w:tcW w:type="dxa" w:w="1080"/>
          </w:tcPr>
          <w:p>
            <w:r>
              <w:t>0.630</w:t>
            </w:r>
          </w:p>
        </w:tc>
        <w:tc>
          <w:tcPr>
            <w:tcW w:type="dxa" w:w="1080"/>
          </w:tcPr>
          <w:p>
            <w:r>
              <w:t>0.960</w:t>
            </w:r>
          </w:p>
        </w:tc>
        <w:tc>
          <w:tcPr>
            <w:tcW w:type="dxa" w:w="1080"/>
          </w:tcPr>
          <w:p>
            <w:r>
              <w:t>96%</w:t>
            </w:r>
          </w:p>
        </w:tc>
        <w:tc>
          <w:tcPr>
            <w:tcW w:type="dxa" w:w="1080"/>
          </w:tcPr>
          <w:p>
            <w:r>
              <w:t>1,382</w:t>
            </w:r>
          </w:p>
        </w:tc>
      </w:tr>
      <w:tr>
        <w:tc>
          <w:tcPr>
            <w:tcW w:type="dxa" w:w="1080"/>
          </w:tcPr>
          <w:p>
            <w:r>
              <w:t>S1 少样本</w:t>
            </w:r>
          </w:p>
        </w:tc>
        <w:tc>
          <w:tcPr>
            <w:tcW w:type="dxa" w:w="1080"/>
          </w:tcPr>
          <w:p>
            <w:r>
              <w:t>0.669 [0.615, 0.722]</w:t>
            </w:r>
          </w:p>
        </w:tc>
        <w:tc>
          <w:tcPr>
            <w:tcW w:type="dxa" w:w="1080"/>
          </w:tcPr>
          <w:p>
            <w:r>
              <w:t>0.634</w:t>
            </w:r>
          </w:p>
        </w:tc>
        <w:tc>
          <w:tcPr>
            <w:tcW w:type="dxa" w:w="1080"/>
          </w:tcPr>
          <w:p>
            <w:r>
              <w:t>0.753</w:t>
            </w:r>
          </w:p>
        </w:tc>
        <w:tc>
          <w:tcPr>
            <w:tcW w:type="dxa" w:w="1080"/>
          </w:tcPr>
          <w:p>
            <w:r>
              <w:t>0.840</w:t>
            </w:r>
          </w:p>
        </w:tc>
        <w:tc>
          <w:tcPr>
            <w:tcW w:type="dxa" w:w="1080"/>
          </w:tcPr>
          <w:p>
            <w:r>
              <w:t>0.970</w:t>
            </w:r>
          </w:p>
        </w:tc>
        <w:tc>
          <w:tcPr>
            <w:tcW w:type="dxa" w:w="1080"/>
          </w:tcPr>
          <w:p>
            <w:r>
              <w:t>100%</w:t>
            </w:r>
          </w:p>
        </w:tc>
        <w:tc>
          <w:tcPr>
            <w:tcW w:type="dxa" w:w="1080"/>
          </w:tcPr>
          <w:p>
            <w:r>
              <w:t>1,302</w:t>
            </w:r>
          </w:p>
        </w:tc>
      </w:tr>
      <w:tr>
        <w:tc>
          <w:tcPr>
            <w:tcW w:type="dxa" w:w="1080"/>
          </w:tcPr>
          <w:p>
            <w:r>
              <w:t>S2 Auto-CoT</w:t>
            </w:r>
          </w:p>
        </w:tc>
        <w:tc>
          <w:tcPr>
            <w:tcW w:type="dxa" w:w="1080"/>
          </w:tcPr>
          <w:p>
            <w:r>
              <w:t>0.634 [0.564, 0.691]</w:t>
            </w:r>
          </w:p>
        </w:tc>
        <w:tc>
          <w:tcPr>
            <w:tcW w:type="dxa" w:w="1080"/>
          </w:tcPr>
          <w:p>
            <w:r>
              <w:t>0.564</w:t>
            </w:r>
          </w:p>
        </w:tc>
        <w:tc>
          <w:tcPr>
            <w:tcW w:type="dxa" w:w="1080"/>
          </w:tcPr>
          <w:p>
            <w:r>
              <w:t>0.772</w:t>
            </w:r>
          </w:p>
        </w:tc>
        <w:tc>
          <w:tcPr>
            <w:tcW w:type="dxa" w:w="1080"/>
          </w:tcPr>
          <w:p>
            <w:r>
              <w:t>0.860</w:t>
            </w:r>
          </w:p>
        </w:tc>
        <w:tc>
          <w:tcPr>
            <w:tcW w:type="dxa" w:w="1080"/>
          </w:tcPr>
          <w:p>
            <w:r>
              <w:t>0.980</w:t>
            </w:r>
          </w:p>
        </w:tc>
        <w:tc>
          <w:tcPr>
            <w:tcW w:type="dxa" w:w="1080"/>
          </w:tcPr>
          <w:p>
            <w:r>
              <w:t>85%</w:t>
            </w:r>
          </w:p>
        </w:tc>
        <w:tc>
          <w:tcPr>
            <w:tcW w:type="dxa" w:w="1080"/>
          </w:tcPr>
          <w:p>
            <w:r>
              <w:t>2,401</w:t>
            </w:r>
          </w:p>
        </w:tc>
      </w:tr>
      <w:tr>
        <w:tc>
          <w:tcPr>
            <w:tcW w:type="dxa" w:w="1080"/>
          </w:tcPr>
          <w:p>
            <w:r>
              <w:t>S3 计划与求解</w:t>
            </w:r>
          </w:p>
        </w:tc>
        <w:tc>
          <w:tcPr>
            <w:tcW w:type="dxa" w:w="1080"/>
          </w:tcPr>
          <w:p>
            <w:r>
              <w:t>0.598 [0.529, 0.652]</w:t>
            </w:r>
          </w:p>
        </w:tc>
        <w:tc>
          <w:tcPr>
            <w:tcW w:type="dxa" w:w="1080"/>
          </w:tcPr>
          <w:p>
            <w:r>
              <w:t>0.540</w:t>
            </w:r>
          </w:p>
        </w:tc>
        <w:tc>
          <w:tcPr>
            <w:tcW w:type="dxa" w:w="1080"/>
          </w:tcPr>
          <w:p>
            <w:r>
              <w:t>0.741</w:t>
            </w:r>
          </w:p>
        </w:tc>
        <w:tc>
          <w:tcPr>
            <w:tcW w:type="dxa" w:w="1080"/>
          </w:tcPr>
          <w:p>
            <w:r>
              <w:t>0.850</w:t>
            </w:r>
          </w:p>
        </w:tc>
        <w:tc>
          <w:tcPr>
            <w:tcW w:type="dxa" w:w="1080"/>
          </w:tcPr>
          <w:p>
            <w:r>
              <w:t>0.990</w:t>
            </w:r>
          </w:p>
        </w:tc>
        <w:tc>
          <w:tcPr>
            <w:tcW w:type="dxa" w:w="1080"/>
          </w:tcPr>
          <w:p>
            <w:r>
              <w:t>92%</w:t>
            </w:r>
          </w:p>
        </w:tc>
        <w:tc>
          <w:tcPr>
            <w:tcW w:type="dxa" w:w="1080"/>
          </w:tcPr>
          <w:p>
            <w:r>
              <w:t>1,735</w:t>
            </w:r>
          </w:p>
        </w:tc>
      </w:tr>
      <w:tr>
        <w:tc>
          <w:tcPr>
            <w:tcW w:type="dxa" w:w="1080"/>
          </w:tcPr>
          <w:p>
            <w:r>
              <w:t>S4 CAICS-CoT</w:t>
            </w:r>
          </w:p>
        </w:tc>
        <w:tc>
          <w:tcPr>
            <w:tcW w:type="dxa" w:w="1080"/>
          </w:tcPr>
          <w:p>
            <w:r>
              <w:t>0.656 [0.603, 0.695]</w:t>
            </w:r>
          </w:p>
        </w:tc>
        <w:tc>
          <w:tcPr>
            <w:tcW w:type="dxa" w:w="1080"/>
          </w:tcPr>
          <w:p>
            <w:r>
              <w:t>0.872</w:t>
            </w:r>
          </w:p>
        </w:tc>
        <w:tc>
          <w:tcPr>
            <w:tcW w:type="dxa" w:w="1080"/>
          </w:tcPr>
          <w:p>
            <w:r>
              <w:t>0.565</w:t>
            </w:r>
          </w:p>
        </w:tc>
        <w:tc>
          <w:tcPr>
            <w:tcW w:type="dxa" w:w="1080"/>
          </w:tcPr>
          <w:p>
            <w:r>
              <w:t>0.830</w:t>
            </w:r>
          </w:p>
        </w:tc>
        <w:tc>
          <w:tcPr>
            <w:tcW w:type="dxa" w:w="1080"/>
          </w:tcPr>
          <w:p>
            <w:r>
              <w:t>0.990</w:t>
            </w:r>
          </w:p>
        </w:tc>
        <w:tc>
          <w:tcPr>
            <w:tcW w:type="dxa" w:w="1080"/>
          </w:tcPr>
          <w:p>
            <w:r>
              <w:t>99%</w:t>
            </w:r>
          </w:p>
        </w:tc>
        <w:tc>
          <w:tcPr>
            <w:tcW w:type="dxa" w:w="1080"/>
          </w:tcPr>
          <w:p>
            <w:r>
              <w:t>1,843</w:t>
            </w:r>
          </w:p>
        </w:tc>
      </w:tr>
      <w:tr>
        <w:tc>
          <w:tcPr>
            <w:tcW w:type="dxa" w:w="1080"/>
          </w:tcPr>
          <w:p>
            <w:r>
              <w:t>S5 CAICS-CoT+</w:t>
            </w:r>
          </w:p>
        </w:tc>
        <w:tc>
          <w:tcPr>
            <w:tcW w:type="dxa" w:w="1080"/>
          </w:tcPr>
          <w:p>
            <w:r>
              <w:t>0.665 [0.606, 0.719]</w:t>
            </w:r>
          </w:p>
        </w:tc>
        <w:tc>
          <w:tcPr>
            <w:tcW w:type="dxa" w:w="1080"/>
          </w:tcPr>
          <w:p>
            <w:r>
              <w:t>0.750</w:t>
            </w:r>
          </w:p>
        </w:tc>
        <w:tc>
          <w:tcPr>
            <w:tcW w:type="dxa" w:w="1080"/>
          </w:tcPr>
          <w:p>
            <w:r>
              <w:t>0.618</w:t>
            </w:r>
          </w:p>
        </w:tc>
        <w:tc>
          <w:tcPr>
            <w:tcW w:type="dxa" w:w="1080"/>
          </w:tcPr>
          <w:p>
            <w:r>
              <w:t>0.830</w:t>
            </w:r>
          </w:p>
        </w:tc>
        <w:tc>
          <w:tcPr>
            <w:tcW w:type="dxa" w:w="1080"/>
          </w:tcPr>
          <w:p>
            <w:r>
              <w:t>0.980</w:t>
            </w:r>
          </w:p>
        </w:tc>
        <w:tc>
          <w:tcPr>
            <w:tcW w:type="dxa" w:w="1080"/>
          </w:tcPr>
          <w:p>
            <w:r>
              <w:t>100%</w:t>
            </w:r>
          </w:p>
        </w:tc>
        <w:tc>
          <w:tcPr>
            <w:tcW w:type="dxa" w:w="1080"/>
          </w:tcPr>
          <w:p>
            <w:r>
              <w:t>5,430</w:t>
            </w:r>
          </w:p>
        </w:tc>
      </w:tr>
    </w:tbl>
    <w:p>
      <w:r>
        <w:rPr>
          <w:i/>
        </w:rPr>
        <w:t>注。</w:t>
      </w:r>
      <w:r>
        <w:t xml:space="preserve"> </w:t>
      </w:r>
      <w:r>
        <w:rPr>
          <w:rFonts w:ascii="宋体" w:hAnsi="宋体" w:eastAsia="宋体"/>
        </w:rPr>
        <w:t>真值为三位独立专家标注者的多数投票。置信区间为百分位</w:t>
      </w:r>
      <w:r>
        <w:t xml:space="preserve"> bootstrap</w:t>
      </w:r>
      <w:r>
        <w:t>（</w:t>
      </w:r>
      <w:r>
        <w:t xml:space="preserve">1,000 </w:t>
      </w:r>
      <w:r>
        <w:rPr>
          <w:rFonts w:ascii="宋体" w:hAnsi="宋体" w:eastAsia="宋体"/>
        </w:rPr>
        <w:t>次重采样）。</w:t>
      </w:r>
      <w:r>
        <w:t xml:space="preserve">S2 </w:t>
      </w:r>
      <w:r>
        <w:rPr>
          <w:rFonts w:ascii="宋体" w:hAnsi="宋体" w:eastAsia="宋体"/>
        </w:rPr>
        <w:t>的编码指标与类型</w:t>
      </w:r>
      <w:r>
        <w:t>/</w:t>
      </w:r>
      <w:r>
        <w:rPr>
          <w:rFonts w:ascii="宋体" w:hAnsi="宋体" w:eastAsia="宋体"/>
        </w:rPr>
        <w:t>等级准确率均经后处理恢复计算（</w:t>
      </w:r>
      <w:r>
        <w:t xml:space="preserve">96/100 </w:t>
      </w:r>
      <w:r>
        <w:rPr>
          <w:rFonts w:ascii="宋体" w:hAnsi="宋体" w:eastAsia="宋体"/>
        </w:rPr>
        <w:t>输出发生层级格式漂移）；其他策略未做后处理，因此</w:t>
      </w:r>
      <w:r>
        <w:t xml:space="preserve"> S2 </w:t>
      </w:r>
      <w:r>
        <w:rPr>
          <w:rFonts w:ascii="宋体" w:hAnsi="宋体" w:eastAsia="宋体"/>
        </w:rPr>
        <w:t>的得分描述的是后处理管道而非原始输出。全部配置在</w:t>
      </w:r>
      <w:r>
        <w:t xml:space="preserve"> temperature 0.0 </w:t>
      </w:r>
      <w:r>
        <w:rPr>
          <w:rFonts w:ascii="宋体" w:hAnsi="宋体" w:eastAsia="宋体"/>
        </w:rPr>
        <w:t>下各运行一次。</w:t>
      </w:r>
      <w:r>
        <w:t>S1</w:t>
      </w:r>
      <w:r>
        <w:t>、</w:t>
      </w:r>
      <w:r>
        <w:t>S4</w:t>
      </w:r>
      <w:r>
        <w:t>、</w:t>
      </w:r>
      <w:r>
        <w:t xml:space="preserve">S5 </w:t>
      </w:r>
      <w:r>
        <w:rPr>
          <w:rFonts w:ascii="宋体" w:hAnsi="宋体" w:eastAsia="宋体"/>
        </w:rPr>
        <w:t>的</w:t>
      </w:r>
      <w:r>
        <w:t xml:space="preserve"> F1 </w:t>
      </w:r>
      <w:r>
        <w:rPr>
          <w:rFonts w:ascii="宋体" w:hAnsi="宋体" w:eastAsia="宋体"/>
        </w:rPr>
        <w:t>差异处于重叠的置信区间内，故将</w:t>
      </w:r>
      <w:r>
        <w:t xml:space="preserve"> S1 </w:t>
      </w:r>
      <w:r>
        <w:rPr>
          <w:rFonts w:ascii="宋体" w:hAnsi="宋体" w:eastAsia="宋体"/>
        </w:rPr>
        <w:t>描述为最高点估计，而非经统计确认的胜者。</w:t>
      </w:r>
    </w:p>
    <w:p>
      <w:pPr>
        <w:pStyle w:val="Heading3"/>
      </w:pPr>
      <w:r>
        <w:rPr>
          <w:color w:val="000000"/>
        </w:rPr>
        <w:t xml:space="preserve">4.4.2 </w:t>
      </w:r>
      <w:r>
        <w:rPr>
          <w:rFonts w:ascii="宋体" w:hAnsi="宋体" w:eastAsia="宋体"/>
          <w:color w:val="000000"/>
        </w:rPr>
        <w:t>少样本在本模型</w:t>
      </w:r>
      <w:r>
        <w:rPr>
          <w:color w:val="000000"/>
        </w:rPr>
        <w:t>-</w:t>
      </w:r>
      <w:r>
        <w:rPr>
          <w:rFonts w:ascii="宋体" w:hAnsi="宋体" w:eastAsia="宋体"/>
          <w:color w:val="000000"/>
        </w:rPr>
        <w:t>任务组合上优于领域</w:t>
      </w:r>
      <w:r>
        <w:rPr>
          <w:color w:val="000000"/>
        </w:rPr>
        <w:t xml:space="preserve"> CoT</w:t>
      </w:r>
    </w:p>
    <w:p>
      <w:r>
        <w:t xml:space="preserve">S1 </w:t>
      </w:r>
      <w:r>
        <w:rPr>
          <w:rFonts w:ascii="宋体" w:hAnsi="宋体" w:eastAsia="宋体"/>
        </w:rPr>
        <w:t>的示例实现格式</w:t>
      </w:r>
      <w:r>
        <w:t>-</w:t>
      </w:r>
      <w:r>
        <w:rPr>
          <w:rFonts w:ascii="宋体" w:hAnsi="宋体" w:eastAsia="宋体"/>
        </w:rPr>
        <w:t>内容联合校准：示范输出</w:t>
      </w:r>
      <w:r>
        <w:t xml:space="preserve"> schema</w:t>
      </w:r>
      <w:r>
        <w:t>、期望编码密度、编码组合模式与推理深度。</w:t>
      </w:r>
      <w:r>
        <w:t xml:space="preserve">S1 </w:t>
      </w:r>
      <w:r>
        <w:rPr>
          <w:rFonts w:ascii="宋体" w:hAnsi="宋体" w:eastAsia="宋体"/>
        </w:rPr>
        <w:t>的平均编码密度与真值接近（</w:t>
      </w:r>
      <w:r>
        <w:t xml:space="preserve">5.0 </w:t>
      </w:r>
      <w:r>
        <w:rPr>
          <w:rFonts w:ascii="宋体" w:hAnsi="宋体" w:eastAsia="宋体"/>
        </w:rPr>
        <w:t>对</w:t>
      </w:r>
      <w:r>
        <w:t xml:space="preserve"> 5.1</w:t>
      </w:r>
      <w:r>
        <w:t>），</w:t>
      </w:r>
      <w:r>
        <w:t xml:space="preserve">S0 </w:t>
      </w:r>
      <w:r>
        <w:rPr>
          <w:rFonts w:ascii="宋体" w:hAnsi="宋体" w:eastAsia="宋体"/>
        </w:rPr>
        <w:t>偏少（</w:t>
      </w:r>
      <w:r>
        <w:t>3.6</w:t>
      </w:r>
      <w:r>
        <w:t>）、</w:t>
      </w:r>
      <w:r>
        <w:t xml:space="preserve">S4 </w:t>
      </w:r>
      <w:r>
        <w:rPr>
          <w:rFonts w:ascii="宋体" w:hAnsi="宋体" w:eastAsia="宋体"/>
        </w:rPr>
        <w:t>偏多（</w:t>
      </w:r>
      <w:r>
        <w:t>6.5</w:t>
      </w:r>
      <w:r>
        <w:t>）。与</w:t>
      </w:r>
      <w:r>
        <w:t xml:space="preserve"> Liu et al. (2025a) </w:t>
      </w:r>
      <w:r>
        <w:rPr>
          <w:rFonts w:ascii="宋体" w:hAnsi="宋体" w:eastAsia="宋体"/>
        </w:rPr>
        <w:t>的比较有信息量但存在混淆：两项研究在模型（</w:t>
      </w:r>
      <w:r>
        <w:t xml:space="preserve">GPT-4o </w:t>
      </w:r>
      <w:r>
        <w:rPr>
          <w:rFonts w:ascii="宋体" w:hAnsi="宋体" w:eastAsia="宋体"/>
        </w:rPr>
        <w:t>对</w:t>
      </w:r>
      <w:r>
        <w:t xml:space="preserve"> DeepSeek V4</w:t>
      </w:r>
      <w:r>
        <w:t>）、任务（航空</w:t>
      </w:r>
      <w:r>
        <w:t xml:space="preserve"> HFACS </w:t>
      </w:r>
      <w:r>
        <w:rPr>
          <w:rFonts w:ascii="宋体" w:hAnsi="宋体" w:eastAsia="宋体"/>
        </w:rPr>
        <w:t>对施工</w:t>
      </w:r>
      <w:r>
        <w:t xml:space="preserve"> CAICS</w:t>
      </w:r>
      <w:r>
        <w:t>）、语料与评测条件上同时不同。因此观测到的排名差异与模型依赖、任务依赖或两者兼有一致；我们不声称分离出了模型依赖，实践解读仅为：新模型</w:t>
      </w:r>
      <w:r>
        <w:t>-</w:t>
      </w:r>
      <w:r>
        <w:rPr>
          <w:rFonts w:ascii="宋体" w:hAnsi="宋体" w:eastAsia="宋体"/>
        </w:rPr>
        <w:t>任务组合的最优策略不能从单一已发表排名推定。</w:t>
      </w:r>
    </w:p>
    <w:p>
      <w:pPr>
        <w:pStyle w:val="Heading3"/>
      </w:pPr>
      <w:r>
        <w:rPr>
          <w:color w:val="000000"/>
        </w:rPr>
        <w:t xml:space="preserve">4.4.3 </w:t>
      </w:r>
      <w:r>
        <w:rPr>
          <w:rFonts w:ascii="宋体" w:hAnsi="宋体" w:eastAsia="宋体"/>
          <w:color w:val="000000"/>
        </w:rPr>
        <w:t>词汇门控观察及其补救</w:t>
      </w:r>
    </w:p>
    <w:p>
      <w:r>
        <w:t xml:space="preserve">S4 </w:t>
      </w:r>
      <w:r>
        <w:rPr>
          <w:rFonts w:ascii="宋体" w:hAnsi="宋体" w:eastAsia="宋体"/>
        </w:rPr>
        <w:t>初版提示（</w:t>
      </w:r>
      <w:r>
        <w:t>v1</w:t>
      </w:r>
      <w:r>
        <w:t>）将领域知识嵌入为条件检查：每个编码配一个疑问式门控（</w:t>
      </w:r>
      <w:r>
        <w:t>"</w:t>
      </w:r>
      <w:r>
        <w:rPr>
          <w:rFonts w:ascii="宋体" w:hAnsi="宋体" w:eastAsia="宋体"/>
        </w:rPr>
        <w:t>文本提到</w:t>
      </w:r>
      <w:r>
        <w:t>'</w:t>
      </w:r>
      <w:r>
        <w:rPr>
          <w:rFonts w:ascii="宋体" w:hAnsi="宋体" w:eastAsia="宋体"/>
        </w:rPr>
        <w:t>无人监管</w:t>
      </w:r>
      <w:r>
        <w:t>''</w:t>
      </w:r>
      <w:r>
        <w:rPr>
          <w:rFonts w:ascii="宋体" w:hAnsi="宋体" w:eastAsia="宋体"/>
        </w:rPr>
        <w:t>监理失职</w:t>
      </w:r>
      <w:r>
        <w:t>'</w:t>
      </w:r>
      <w:r>
        <w:rPr>
          <w:rFonts w:ascii="宋体" w:hAnsi="宋体" w:eastAsia="宋体"/>
        </w:rPr>
        <w:t>吗？</w:t>
      </w:r>
      <w:r>
        <w:t>"</w:t>
      </w:r>
      <w:r>
        <w:t>）加保守指令。在策略样本上，</w:t>
      </w:r>
      <w:r>
        <w:t xml:space="preserve">v1 </w:t>
      </w:r>
      <w:r>
        <w:rPr>
          <w:rFonts w:ascii="宋体" w:hAnsi="宋体" w:eastAsia="宋体"/>
        </w:rPr>
        <w:t>的</w:t>
      </w:r>
      <w:r>
        <w:t xml:space="preserve"> F1=0.503</w:t>
      </w:r>
      <w:r>
        <w:t>、召回</w:t>
      </w:r>
      <w:r>
        <w:t>=0.423</w:t>
      </w:r>
      <w:r>
        <w:t>、</w:t>
      </w:r>
      <w:r>
        <w:t xml:space="preserve">21% </w:t>
      </w:r>
      <w:r>
        <w:rPr>
          <w:rFonts w:ascii="宋体" w:hAnsi="宋体" w:eastAsia="宋体"/>
        </w:rPr>
        <w:t>空输出、</w:t>
      </w:r>
      <w:r>
        <w:t xml:space="preserve">M1 </w:t>
      </w:r>
      <w:r>
        <w:rPr>
          <w:rFonts w:ascii="宋体" w:hAnsi="宋体" w:eastAsia="宋体"/>
        </w:rPr>
        <w:t>召回</w:t>
      </w:r>
      <w:r>
        <w:t xml:space="preserve"> 0.141——</w:t>
      </w:r>
      <w:r>
        <w:rPr>
          <w:rFonts w:ascii="宋体" w:hAnsi="宋体" w:eastAsia="宋体"/>
        </w:rPr>
        <w:t>而</w:t>
      </w:r>
      <w:r>
        <w:t xml:space="preserve"> M1 </w:t>
      </w:r>
      <w:r>
        <w:rPr>
          <w:rFonts w:ascii="宋体" w:hAnsi="宋体" w:eastAsia="宋体"/>
        </w:rPr>
        <w:t>是真值中最高频编码（</w:t>
      </w:r>
      <w:r>
        <w:t xml:space="preserve">100 </w:t>
      </w:r>
      <w:r>
        <w:rPr>
          <w:rFonts w:ascii="宋体" w:hAnsi="宋体" w:eastAsia="宋体"/>
        </w:rPr>
        <w:t>条中出现</w:t>
      </w:r>
      <w:r>
        <w:t xml:space="preserve"> 85 </w:t>
      </w:r>
      <w:r>
        <w:rPr>
          <w:rFonts w:ascii="宋体" w:hAnsi="宋体" w:eastAsia="宋体"/>
        </w:rPr>
        <w:t>次）。多数事故叙述从不使用这些精确措辞，而是写</w:t>
      </w:r>
      <w:r>
        <w:t>"</w:t>
      </w:r>
      <w:r>
        <w:rPr>
          <w:rFonts w:ascii="宋体" w:hAnsi="宋体" w:eastAsia="宋体"/>
        </w:rPr>
        <w:t>安全管理不到位</w:t>
      </w:r>
      <w:r>
        <w:t>""</w:t>
      </w:r>
      <w:r>
        <w:rPr>
          <w:rFonts w:ascii="宋体" w:hAnsi="宋体" w:eastAsia="宋体"/>
        </w:rPr>
        <w:t>未及时发现制止</w:t>
      </w:r>
      <w:r>
        <w:t>"</w:t>
      </w:r>
      <w:r>
        <w:t>。在条件检查措辞下，模型似乎将所列关键词当作强制性门槛而非示例线索。</w:t>
      </w:r>
    </w:p>
    <w:p>
      <w:r>
        <w:rPr>
          <w:rFonts w:ascii="宋体" w:hAnsi="宋体" w:eastAsia="宋体"/>
        </w:rPr>
        <w:t>我们将这一观测模式命名为</w:t>
      </w:r>
      <w:r>
        <w:rPr>
          <w:rFonts w:ascii="宋体" w:hAnsi="宋体" w:eastAsia="宋体"/>
          <w:b/>
        </w:rPr>
        <w:t>词汇门控效应</w:t>
      </w:r>
      <w:r>
        <w:t>：疑问式条件检查</w:t>
      </w:r>
      <w:r>
        <w:t xml:space="preserve"> CoT </w:t>
      </w:r>
      <w:r>
        <w:rPr>
          <w:rFonts w:ascii="宋体" w:hAnsi="宋体" w:eastAsia="宋体"/>
        </w:rPr>
        <w:t>措辞抑制隐性类别的同义证据，召回损失集中于最高频的隐性编码。该术语描述的是观察；它本身并不识别机制。</w:t>
      </w:r>
    </w:p>
    <w:p>
      <w:r>
        <w:rPr>
          <w:rFonts w:ascii="宋体" w:hAnsi="宋体" w:eastAsia="宋体"/>
        </w:rPr>
        <w:t>补救以两步判断取代门控：</w:t>
      </w:r>
      <w:r>
        <w:t xml:space="preserve">(1) </w:t>
      </w:r>
      <w:r>
        <w:rPr>
          <w:rFonts w:ascii="宋体" w:hAnsi="宋体" w:eastAsia="宋体"/>
        </w:rPr>
        <w:t>显性匹配</w:t>
      </w:r>
      <w:r>
        <w:t>——</w:t>
      </w:r>
      <w:r>
        <w:rPr>
          <w:rFonts w:ascii="宋体" w:hAnsi="宋体" w:eastAsia="宋体"/>
        </w:rPr>
        <w:t>文本是否以任何同义表述直接支持该编码？</w:t>
      </w:r>
      <w:r>
        <w:t xml:space="preserve">(2) </w:t>
      </w:r>
      <w:r>
        <w:rPr>
          <w:rFonts w:ascii="宋体" w:hAnsi="宋体" w:eastAsia="宋体"/>
        </w:rPr>
        <w:t>授权推断</w:t>
      </w:r>
      <w:r>
        <w:t>——</w:t>
      </w:r>
      <w:r>
        <w:rPr>
          <w:rFonts w:ascii="宋体" w:hAnsi="宋体" w:eastAsia="宋体"/>
        </w:rPr>
        <w:t>根据事故性质与施工安全常识，该致因即使没有显式措辞是否必然存在？保守指令亦替换为全覆盖偏好。</w:t>
      </w:r>
      <w:r>
        <w:t xml:space="preserve">v1→v2 </w:t>
      </w:r>
      <w:r>
        <w:rPr>
          <w:rFonts w:ascii="宋体" w:hAnsi="宋体" w:eastAsia="宋体"/>
        </w:rPr>
        <w:t>的组合变化将</w:t>
      </w:r>
      <w:r>
        <w:t xml:space="preserve"> F1 </w:t>
      </w:r>
      <w:r>
        <w:rPr>
          <w:rFonts w:ascii="宋体" w:hAnsi="宋体" w:eastAsia="宋体"/>
        </w:rPr>
        <w:t>从</w:t>
      </w:r>
      <w:r>
        <w:t xml:space="preserve"> 0.503 </w:t>
      </w:r>
      <w:r>
        <w:rPr>
          <w:rFonts w:ascii="宋体" w:hAnsi="宋体" w:eastAsia="宋体"/>
        </w:rPr>
        <w:t>提至</w:t>
      </w:r>
      <w:r>
        <w:t xml:space="preserve"> 0.656</w:t>
      </w:r>
      <w:r>
        <w:t>，召回从</w:t>
      </w:r>
      <w:r>
        <w:t xml:space="preserve"> 0.423 </w:t>
      </w:r>
      <w:r>
        <w:rPr>
          <w:rFonts w:ascii="宋体" w:hAnsi="宋体" w:eastAsia="宋体"/>
        </w:rPr>
        <w:t>提至</w:t>
      </w:r>
      <w:r>
        <w:t xml:space="preserve"> 0.872</w:t>
      </w:r>
      <w:r>
        <w:t>，</w:t>
      </w:r>
      <w:r>
        <w:t xml:space="preserve">M1 </w:t>
      </w:r>
      <w:r>
        <w:rPr>
          <w:rFonts w:ascii="宋体" w:hAnsi="宋体" w:eastAsia="宋体"/>
        </w:rPr>
        <w:t>召回从</w:t>
      </w:r>
      <w:r>
        <w:t xml:space="preserve"> 0.141 </w:t>
      </w:r>
      <w:r>
        <w:rPr>
          <w:rFonts w:ascii="宋体" w:hAnsi="宋体" w:eastAsia="宋体"/>
        </w:rPr>
        <w:t>提至</w:t>
      </w:r>
      <w:r>
        <w:t xml:space="preserve"> 0.988</w:t>
      </w:r>
      <w:r>
        <w:t>，空输出从</w:t>
      </w:r>
      <w:r>
        <w:t xml:space="preserve"> 21% </w:t>
      </w:r>
      <w:r>
        <w:rPr>
          <w:rFonts w:ascii="宋体" w:hAnsi="宋体" w:eastAsia="宋体"/>
        </w:rPr>
        <w:t>降至</w:t>
      </w:r>
      <w:r>
        <w:t xml:space="preserve"> 0</w:t>
      </w:r>
      <w:r>
        <w:t>。图</w:t>
      </w:r>
      <w:r>
        <w:t xml:space="preserve"> 5 </w:t>
      </w:r>
      <w:r>
        <w:rPr>
          <w:rFonts w:ascii="宋体" w:hAnsi="宋体" w:eastAsia="宋体"/>
        </w:rPr>
        <w:t>可视化该变化。</w:t>
      </w:r>
    </w:p>
    <w:p>
      <w:pPr>
        <w:jc w:val="center"/>
      </w:pPr>
      <w:r>
        <w:drawing>
          <wp:inline xmlns:a="http://schemas.openxmlformats.org/drawingml/2006/main" xmlns:pic="http://schemas.openxmlformats.org/drawingml/2006/picture">
            <wp:extent cx="5486400" cy="2323231"/>
            <wp:docPr id="5" name="Picture 5"/>
            <wp:cNvGraphicFramePr>
              <a:graphicFrameLocks noChangeAspect="1"/>
            </wp:cNvGraphicFramePr>
            <a:graphic>
              <a:graphicData uri="http://schemas.openxmlformats.org/drawingml/2006/picture">
                <pic:pic>
                  <pic:nvPicPr>
                    <pic:cNvPr id="0" name="fig5_gatekeeping.png"/>
                    <pic:cNvPicPr/>
                  </pic:nvPicPr>
                  <pic:blipFill>
                    <a:blip r:embed="rId13"/>
                    <a:stretch>
                      <a:fillRect/>
                    </a:stretch>
                  </pic:blipFill>
                  <pic:spPr>
                    <a:xfrm>
                      <a:off x="0" y="0"/>
                      <a:ext cx="5486400" cy="2323231"/>
                    </a:xfrm>
                    <a:prstGeom prst="rect"/>
                  </pic:spPr>
                </pic:pic>
              </a:graphicData>
            </a:graphic>
          </wp:inline>
        </w:drawing>
      </w:r>
    </w:p>
    <w:p>
      <w:r>
        <w:rPr>
          <w:rFonts w:ascii="宋体" w:hAnsi="宋体" w:eastAsia="宋体"/>
          <w:b/>
        </w:rPr>
        <w:t>图 5. 词汇门控观察及其补救</w:t>
      </w:r>
    </w:p>
    <w:p>
      <w:pPr>
        <w:pStyle w:val="Heading3"/>
      </w:pPr>
      <w:r>
        <w:rPr>
          <w:color w:val="000000"/>
        </w:rPr>
        <w:t xml:space="preserve">4.4.4 </w:t>
      </w:r>
      <w:r>
        <w:rPr>
          <w:rFonts w:ascii="宋体" w:hAnsi="宋体" w:eastAsia="宋体"/>
          <w:color w:val="000000"/>
        </w:rPr>
        <w:t>措辞变化的约束性四格比较</w:t>
      </w:r>
    </w:p>
    <w:p>
      <w:r>
        <w:t xml:space="preserve">v1→v2 </w:t>
      </w:r>
      <w:r>
        <w:rPr>
          <w:rFonts w:ascii="宋体" w:hAnsi="宋体" w:eastAsia="宋体"/>
        </w:rPr>
        <w:t>的转变同时改变了多个提示属性</w:t>
      </w:r>
      <w:r>
        <w:t>——</w:t>
      </w:r>
      <w:r>
        <w:rPr>
          <w:rFonts w:ascii="宋体" w:hAnsi="宋体" w:eastAsia="宋体"/>
        </w:rPr>
        <w:t>疑问句式、两步判断的加入、推断的显式授权、输出政策指令。因此我们在同一样本上运行了四格比较：</w:t>
      </w:r>
      <w:r>
        <w:t>v1</w:t>
      </w:r>
      <w:r>
        <w:t>（条件检查</w:t>
      </w:r>
      <w:r>
        <w:t>+</w:t>
      </w:r>
      <w:r>
        <w:rPr>
          <w:rFonts w:ascii="宋体" w:hAnsi="宋体" w:eastAsia="宋体"/>
        </w:rPr>
        <w:t>保守）、</w:t>
      </w:r>
      <w:r>
        <w:t>v2a</w:t>
      </w:r>
      <w:r>
        <w:t>（两步判断</w:t>
      </w:r>
      <w:r>
        <w:t>+</w:t>
      </w:r>
      <w:r>
        <w:rPr>
          <w:rFonts w:ascii="宋体" w:hAnsi="宋体" w:eastAsia="宋体"/>
        </w:rPr>
        <w:t>保守）、</w:t>
      </w:r>
      <w:r>
        <w:t>v2b</w:t>
      </w:r>
      <w:r>
        <w:t>（条件检查</w:t>
      </w:r>
      <w:r>
        <w:t>+</w:t>
      </w:r>
      <w:r>
        <w:rPr>
          <w:rFonts w:ascii="宋体" w:hAnsi="宋体" w:eastAsia="宋体"/>
        </w:rPr>
        <w:t>全覆盖）、</w:t>
      </w:r>
      <w:r>
        <w:t>v2</w:t>
      </w:r>
      <w:r>
        <w:t>（两步判断</w:t>
      </w:r>
      <w:r>
        <w:t>+</w:t>
      </w:r>
      <w:r>
        <w:rPr>
          <w:rFonts w:ascii="宋体" w:hAnsi="宋体" w:eastAsia="宋体"/>
        </w:rPr>
        <w:t>全覆盖）。表</w:t>
      </w:r>
      <w:r>
        <w:t xml:space="preserve"> 8 </w:t>
      </w:r>
      <w:r>
        <w:rPr>
          <w:rFonts w:ascii="宋体" w:hAnsi="宋体" w:eastAsia="宋体"/>
        </w:rPr>
        <w:t>报告结果。保持保守指令不变，仅措辞改变（</w:t>
      </w:r>
      <w:r>
        <w:t>v1 → v2a</w:t>
      </w:r>
      <w:r>
        <w:t>）将</w:t>
      </w:r>
      <w:r>
        <w:t xml:space="preserve"> M1 </w:t>
      </w:r>
      <w:r>
        <w:rPr>
          <w:rFonts w:ascii="宋体" w:hAnsi="宋体" w:eastAsia="宋体"/>
        </w:rPr>
        <w:t>召回从</w:t>
      </w:r>
      <w:r>
        <w:t xml:space="preserve"> 0.141 </w:t>
      </w:r>
      <w:r>
        <w:rPr>
          <w:rFonts w:ascii="宋体" w:hAnsi="宋体" w:eastAsia="宋体"/>
        </w:rPr>
        <w:t>提至</w:t>
      </w:r>
      <w:r>
        <w:t xml:space="preserve"> 0.941——M1 </w:t>
      </w:r>
      <w:r>
        <w:rPr>
          <w:rFonts w:ascii="宋体" w:hAnsi="宋体" w:eastAsia="宋体"/>
        </w:rPr>
        <w:t>总恢复量</w:t>
      </w:r>
      <w:r>
        <w:t xml:space="preserve"> 0.847 </w:t>
      </w:r>
      <w:r>
        <w:rPr>
          <w:rFonts w:ascii="宋体" w:hAnsi="宋体" w:eastAsia="宋体"/>
        </w:rPr>
        <w:t>中的</w:t>
      </w:r>
      <w:r>
        <w:t xml:space="preserve"> 0.800——</w:t>
      </w:r>
      <w:r>
        <w:rPr>
          <w:rFonts w:ascii="宋体" w:hAnsi="宋体" w:eastAsia="宋体"/>
        </w:rPr>
        <w:t>而保持措辞不变，仅政策改变（</w:t>
      </w:r>
      <w:r>
        <w:t>v1 → v2b</w:t>
      </w:r>
      <w:r>
        <w:t>）只提至</w:t>
      </w:r>
      <w:r>
        <w:t xml:space="preserve"> 0.329</w:t>
      </w:r>
      <w:r>
        <w:t>。聚合层面两种操纵贡献相当（</w:t>
      </w:r>
      <w:r>
        <w:t xml:space="preserve">F1 +0.161 </w:t>
      </w:r>
      <w:r>
        <w:rPr>
          <w:rFonts w:ascii="宋体" w:hAnsi="宋体" w:eastAsia="宋体"/>
        </w:rPr>
        <w:t>对</w:t>
      </w:r>
      <w:r>
        <w:t xml:space="preserve"> +0.150</w:t>
      </w:r>
      <w:r>
        <w:t>）。</w:t>
      </w:r>
    </w:p>
    <w:p>
      <w:r>
        <w:rPr>
          <w:rFonts w:ascii="宋体" w:hAnsi="宋体" w:eastAsia="宋体"/>
        </w:rPr>
        <w:t>两条范围边界随之而来。其一，这些是简单逐对差值，不是带交互项估计的正式因子分析，且四个格子在共享开发样本上各运行一次。其二，结果描述的是输出行为而非模型内部机制：疑问措辞究竟影响注意力、表征还是生成，超出本行为实验可确立的范围。可辩护的解读是：在当前模型与</w:t>
      </w:r>
      <w:r>
        <w:t xml:space="preserve"> CAICS </w:t>
      </w:r>
      <w:r>
        <w:rPr>
          <w:rFonts w:ascii="宋体" w:hAnsi="宋体" w:eastAsia="宋体"/>
        </w:rPr>
        <w:t>任务上，提示措辞实质性地改变隐性类别的召回，两步判断是实用补救。我们不声称已分离因果机制。</w:t>
      </w:r>
    </w:p>
    <w:p>
      <w:r>
        <w:rPr>
          <w:rFonts w:ascii="宋体" w:hAnsi="宋体" w:eastAsia="宋体"/>
          <w:b/>
        </w:rPr>
        <w:t>表 8. 措辞与输出政策的四格比较（n=100，多数投票真值，DeepSeek V4，temperature 0.0）</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单元</w:t>
            </w:r>
          </w:p>
        </w:tc>
        <w:tc>
          <w:tcPr>
            <w:tcW w:type="dxa" w:w="864"/>
          </w:tcPr>
          <w:p>
            <w:r>
              <w:rPr>
                <w:b/>
              </w:rPr>
              <w:t>措辞</w:t>
            </w:r>
          </w:p>
        </w:tc>
        <w:tc>
          <w:tcPr>
            <w:tcW w:type="dxa" w:w="864"/>
          </w:tcPr>
          <w:p>
            <w:r>
              <w:rPr>
                <w:b/>
              </w:rPr>
              <w:t>输出政策</w:t>
            </w:r>
          </w:p>
        </w:tc>
        <w:tc>
          <w:tcPr>
            <w:tcW w:type="dxa" w:w="864"/>
          </w:tcPr>
          <w:p>
            <w:r>
              <w:rPr>
                <w:b/>
              </w:rPr>
              <w:t>F1</w:t>
            </w:r>
          </w:p>
        </w:tc>
        <w:tc>
          <w:tcPr>
            <w:tcW w:type="dxa" w:w="864"/>
          </w:tcPr>
          <w:p>
            <w:r>
              <w:rPr>
                <w:b/>
              </w:rPr>
              <w:t>召回</w:t>
            </w:r>
          </w:p>
        </w:tc>
        <w:tc>
          <w:tcPr>
            <w:tcW w:type="dxa" w:w="864"/>
          </w:tcPr>
          <w:p>
            <w:r>
              <w:rPr>
                <w:b/>
              </w:rPr>
              <w:t>精确</w:t>
            </w:r>
          </w:p>
        </w:tc>
        <w:tc>
          <w:tcPr>
            <w:tcW w:type="dxa" w:w="864"/>
          </w:tcPr>
          <w:p>
            <w:r>
              <w:rPr>
                <w:b/>
              </w:rPr>
              <w:t>空输出</w:t>
            </w:r>
          </w:p>
        </w:tc>
        <w:tc>
          <w:tcPr>
            <w:tcW w:type="dxa" w:w="864"/>
          </w:tcPr>
          <w:p>
            <w:r>
              <w:rPr>
                <w:b/>
              </w:rPr>
              <w:t>M1 召回</w:t>
            </w:r>
          </w:p>
        </w:tc>
        <w:tc>
          <w:tcPr>
            <w:tcW w:type="dxa" w:w="864"/>
          </w:tcPr>
          <w:p>
            <w:r>
              <w:rPr>
                <w:b/>
              </w:rPr>
              <w:t>M3 召回</w:t>
            </w:r>
          </w:p>
        </w:tc>
        <w:tc>
          <w:tcPr>
            <w:tcW w:type="dxa" w:w="864"/>
          </w:tcPr>
          <w:p>
            <w:r>
              <w:rPr>
                <w:b/>
              </w:rPr>
              <w:t>H3 召回</w:t>
            </w:r>
          </w:p>
        </w:tc>
      </w:tr>
      <w:tr>
        <w:tc>
          <w:tcPr>
            <w:tcW w:type="dxa" w:w="864"/>
          </w:tcPr>
          <w:p>
            <w:r>
              <w:t>v1</w:t>
            </w:r>
          </w:p>
        </w:tc>
        <w:tc>
          <w:tcPr>
            <w:tcW w:type="dxa" w:w="864"/>
          </w:tcPr>
          <w:p>
            <w:r>
              <w:t>条件检查</w:t>
            </w:r>
          </w:p>
        </w:tc>
        <w:tc>
          <w:tcPr>
            <w:tcW w:type="dxa" w:w="864"/>
          </w:tcPr>
          <w:p>
            <w:r>
              <w:t>保守</w:t>
            </w:r>
          </w:p>
        </w:tc>
        <w:tc>
          <w:tcPr>
            <w:tcW w:type="dxa" w:w="864"/>
          </w:tcPr>
          <w:p>
            <w:r>
              <w:t>0.503</w:t>
            </w:r>
          </w:p>
        </w:tc>
        <w:tc>
          <w:tcPr>
            <w:tcW w:type="dxa" w:w="864"/>
          </w:tcPr>
          <w:p>
            <w:r>
              <w:t>0.423</w:t>
            </w:r>
          </w:p>
        </w:tc>
        <w:tc>
          <w:tcPr>
            <w:tcW w:type="dxa" w:w="864"/>
          </w:tcPr>
          <w:p>
            <w:r>
              <w:t>0.856</w:t>
            </w:r>
          </w:p>
        </w:tc>
        <w:tc>
          <w:tcPr>
            <w:tcW w:type="dxa" w:w="864"/>
          </w:tcPr>
          <w:p>
            <w:r>
              <w:t>21%</w:t>
            </w:r>
          </w:p>
        </w:tc>
        <w:tc>
          <w:tcPr>
            <w:tcW w:type="dxa" w:w="864"/>
          </w:tcPr>
          <w:p>
            <w:r>
              <w:t>0.141</w:t>
            </w:r>
          </w:p>
        </w:tc>
        <w:tc>
          <w:tcPr>
            <w:tcW w:type="dxa" w:w="864"/>
          </w:tcPr>
          <w:p>
            <w:r>
              <w:t>0.250</w:t>
            </w:r>
          </w:p>
        </w:tc>
        <w:tc>
          <w:tcPr>
            <w:tcW w:type="dxa" w:w="864"/>
          </w:tcPr>
          <w:p>
            <w:r>
              <w:t>0.111</w:t>
            </w:r>
          </w:p>
        </w:tc>
      </w:tr>
      <w:tr>
        <w:tc>
          <w:tcPr>
            <w:tcW w:type="dxa" w:w="864"/>
          </w:tcPr>
          <w:p>
            <w:r>
              <w:t>v2a</w:t>
            </w:r>
          </w:p>
        </w:tc>
        <w:tc>
          <w:tcPr>
            <w:tcW w:type="dxa" w:w="864"/>
          </w:tcPr>
          <w:p>
            <w:r>
              <w:t>两步判断</w:t>
            </w:r>
          </w:p>
        </w:tc>
        <w:tc>
          <w:tcPr>
            <w:tcW w:type="dxa" w:w="864"/>
          </w:tcPr>
          <w:p>
            <w:r>
              <w:t>保守</w:t>
            </w:r>
          </w:p>
        </w:tc>
        <w:tc>
          <w:tcPr>
            <w:tcW w:type="dxa" w:w="864"/>
          </w:tcPr>
          <w:p>
            <w:r>
              <w:t>0.665</w:t>
            </w:r>
          </w:p>
        </w:tc>
        <w:tc>
          <w:tcPr>
            <w:tcW w:type="dxa" w:w="864"/>
          </w:tcPr>
          <w:p>
            <w:r>
              <w:t>0.677</w:t>
            </w:r>
          </w:p>
        </w:tc>
        <w:tc>
          <w:tcPr>
            <w:tcW w:type="dxa" w:w="864"/>
          </w:tcPr>
          <w:p>
            <w:r>
              <w:t>0.709</w:t>
            </w:r>
          </w:p>
        </w:tc>
        <w:tc>
          <w:tcPr>
            <w:tcW w:type="dxa" w:w="864"/>
          </w:tcPr>
          <w:p>
            <w:r>
              <w:t>2%</w:t>
            </w:r>
          </w:p>
        </w:tc>
        <w:tc>
          <w:tcPr>
            <w:tcW w:type="dxa" w:w="864"/>
          </w:tcPr>
          <w:p>
            <w:r>
              <w:t>0.941</w:t>
            </w:r>
          </w:p>
        </w:tc>
        <w:tc>
          <w:tcPr>
            <w:tcW w:type="dxa" w:w="864"/>
          </w:tcPr>
          <w:p>
            <w:r>
              <w:t>0.667</w:t>
            </w:r>
          </w:p>
        </w:tc>
        <w:tc>
          <w:tcPr>
            <w:tcW w:type="dxa" w:w="864"/>
          </w:tcPr>
          <w:p>
            <w:r>
              <w:t>0.511</w:t>
            </w:r>
          </w:p>
        </w:tc>
      </w:tr>
      <w:tr>
        <w:tc>
          <w:tcPr>
            <w:tcW w:type="dxa" w:w="864"/>
          </w:tcPr>
          <w:p>
            <w:r>
              <w:t>v2b</w:t>
            </w:r>
          </w:p>
        </w:tc>
        <w:tc>
          <w:tcPr>
            <w:tcW w:type="dxa" w:w="864"/>
          </w:tcPr>
          <w:p>
            <w:r>
              <w:t>条件检查</w:t>
            </w:r>
          </w:p>
        </w:tc>
        <w:tc>
          <w:tcPr>
            <w:tcW w:type="dxa" w:w="864"/>
          </w:tcPr>
          <w:p>
            <w:r>
              <w:t>全覆盖偏好</w:t>
            </w:r>
          </w:p>
        </w:tc>
        <w:tc>
          <w:tcPr>
            <w:tcW w:type="dxa" w:w="864"/>
          </w:tcPr>
          <w:p>
            <w:r>
              <w:t>0.653</w:t>
            </w:r>
          </w:p>
        </w:tc>
        <w:tc>
          <w:tcPr>
            <w:tcW w:type="dxa" w:w="864"/>
          </w:tcPr>
          <w:p>
            <w:r>
              <w:t>0.641</w:t>
            </w:r>
          </w:p>
        </w:tc>
        <w:tc>
          <w:tcPr>
            <w:tcW w:type="dxa" w:w="864"/>
          </w:tcPr>
          <w:p>
            <w:r>
              <w:t>0.724</w:t>
            </w:r>
          </w:p>
        </w:tc>
        <w:tc>
          <w:tcPr>
            <w:tcW w:type="dxa" w:w="864"/>
          </w:tcPr>
          <w:p>
            <w:r>
              <w:t>5%</w:t>
            </w:r>
          </w:p>
        </w:tc>
        <w:tc>
          <w:tcPr>
            <w:tcW w:type="dxa" w:w="864"/>
          </w:tcPr>
          <w:p>
            <w:r>
              <w:t>0.329</w:t>
            </w:r>
          </w:p>
        </w:tc>
        <w:tc>
          <w:tcPr>
            <w:tcW w:type="dxa" w:w="864"/>
          </w:tcPr>
          <w:p>
            <w:r>
              <w:t>0.444</w:t>
            </w:r>
          </w:p>
        </w:tc>
        <w:tc>
          <w:tcPr>
            <w:tcW w:type="dxa" w:w="864"/>
          </w:tcPr>
          <w:p>
            <w:r>
              <w:t>0.533</w:t>
            </w:r>
          </w:p>
        </w:tc>
      </w:tr>
      <w:tr>
        <w:tc>
          <w:tcPr>
            <w:tcW w:type="dxa" w:w="864"/>
          </w:tcPr>
          <w:p>
            <w:r>
              <w:t>v2</w:t>
            </w:r>
          </w:p>
        </w:tc>
        <w:tc>
          <w:tcPr>
            <w:tcW w:type="dxa" w:w="864"/>
          </w:tcPr>
          <w:p>
            <w:r>
              <w:t>两步判断</w:t>
            </w:r>
          </w:p>
        </w:tc>
        <w:tc>
          <w:tcPr>
            <w:tcW w:type="dxa" w:w="864"/>
          </w:tcPr>
          <w:p>
            <w:r>
              <w:t>全覆盖偏好</w:t>
            </w:r>
          </w:p>
        </w:tc>
        <w:tc>
          <w:tcPr>
            <w:tcW w:type="dxa" w:w="864"/>
          </w:tcPr>
          <w:p>
            <w:r>
              <w:t>0.656</w:t>
            </w:r>
          </w:p>
        </w:tc>
        <w:tc>
          <w:tcPr>
            <w:tcW w:type="dxa" w:w="864"/>
          </w:tcPr>
          <w:p>
            <w:r>
              <w:t>0.872</w:t>
            </w:r>
          </w:p>
        </w:tc>
        <w:tc>
          <w:tcPr>
            <w:tcW w:type="dxa" w:w="864"/>
          </w:tcPr>
          <w:p>
            <w:r>
              <w:t>0.565</w:t>
            </w:r>
          </w:p>
        </w:tc>
        <w:tc>
          <w:tcPr>
            <w:tcW w:type="dxa" w:w="864"/>
          </w:tcPr>
          <w:p>
            <w:r>
              <w:t>0%</w:t>
            </w:r>
          </w:p>
        </w:tc>
        <w:tc>
          <w:tcPr>
            <w:tcW w:type="dxa" w:w="864"/>
          </w:tcPr>
          <w:p>
            <w:r>
              <w:t>0.988</w:t>
            </w:r>
          </w:p>
        </w:tc>
        <w:tc>
          <w:tcPr>
            <w:tcW w:type="dxa" w:w="864"/>
          </w:tcPr>
          <w:p>
            <w:r>
              <w:t>0.972</w:t>
            </w:r>
          </w:p>
        </w:tc>
        <w:tc>
          <w:tcPr>
            <w:tcW w:type="dxa" w:w="864"/>
          </w:tcPr>
          <w:p>
            <w:r>
              <w:t>1.000</w:t>
            </w:r>
          </w:p>
        </w:tc>
      </w:tr>
      <w:tr>
        <w:tc>
          <w:tcPr>
            <w:tcW w:type="dxa" w:w="864"/>
          </w:tcPr>
          <w:p>
            <w:r/>
          </w:p>
        </w:tc>
        <w:tc>
          <w:tcPr>
            <w:tcW w:type="dxa" w:w="864"/>
          </w:tcPr>
          <w:p>
            <w:r>
              <w:t>Δ(措辞) = v2a − v1</w:t>
            </w:r>
          </w:p>
        </w:tc>
        <w:tc>
          <w:tcPr>
            <w:tcW w:type="dxa" w:w="864"/>
          </w:tcPr>
          <w:p>
            <w:r/>
          </w:p>
        </w:tc>
        <w:tc>
          <w:tcPr>
            <w:tcW w:type="dxa" w:w="864"/>
          </w:tcPr>
          <w:p>
            <w:r>
              <w:t>+0.161</w:t>
            </w:r>
          </w:p>
        </w:tc>
        <w:tc>
          <w:tcPr>
            <w:tcW w:type="dxa" w:w="864"/>
          </w:tcPr>
          <w:p>
            <w:r>
              <w:t>+0.254</w:t>
            </w:r>
          </w:p>
        </w:tc>
        <w:tc>
          <w:tcPr>
            <w:tcW w:type="dxa" w:w="864"/>
          </w:tcPr>
          <w:p>
            <w:r>
              <w:t>−0.147</w:t>
            </w:r>
          </w:p>
        </w:tc>
        <w:tc>
          <w:tcPr>
            <w:tcW w:type="dxa" w:w="864"/>
          </w:tcPr>
          <w:p>
            <w:r>
              <w:t>−19 pp</w:t>
            </w:r>
          </w:p>
        </w:tc>
        <w:tc>
          <w:tcPr>
            <w:tcW w:type="dxa" w:w="864"/>
          </w:tcPr>
          <w:p>
            <w:r>
              <w:t>+0.800</w:t>
            </w:r>
          </w:p>
        </w:tc>
        <w:tc>
          <w:tcPr>
            <w:tcW w:type="dxa" w:w="864"/>
          </w:tcPr>
          <w:p>
            <w:r>
              <w:t>+0.417</w:t>
            </w:r>
          </w:p>
        </w:tc>
        <w:tc>
          <w:tcPr>
            <w:tcW w:type="dxa" w:w="864"/>
          </w:tcPr>
          <w:p>
            <w:r>
              <w:t>+0.400</w:t>
            </w:r>
          </w:p>
        </w:tc>
      </w:tr>
      <w:tr>
        <w:tc>
          <w:tcPr>
            <w:tcW w:type="dxa" w:w="864"/>
          </w:tcPr>
          <w:p>
            <w:r/>
          </w:p>
        </w:tc>
        <w:tc>
          <w:tcPr>
            <w:tcW w:type="dxa" w:w="864"/>
          </w:tcPr>
          <w:p>
            <w:r>
              <w:t>Δ(政策) = v2b − v1</w:t>
            </w:r>
          </w:p>
        </w:tc>
        <w:tc>
          <w:tcPr>
            <w:tcW w:type="dxa" w:w="864"/>
          </w:tcPr>
          <w:p>
            <w:r/>
          </w:p>
        </w:tc>
        <w:tc>
          <w:tcPr>
            <w:tcW w:type="dxa" w:w="864"/>
          </w:tcPr>
          <w:p>
            <w:r>
              <w:t>+0.150</w:t>
            </w:r>
          </w:p>
        </w:tc>
        <w:tc>
          <w:tcPr>
            <w:tcW w:type="dxa" w:w="864"/>
          </w:tcPr>
          <w:p>
            <w:r>
              <w:t>+0.218</w:t>
            </w:r>
          </w:p>
        </w:tc>
        <w:tc>
          <w:tcPr>
            <w:tcW w:type="dxa" w:w="864"/>
          </w:tcPr>
          <w:p>
            <w:r>
              <w:t>−0.132</w:t>
            </w:r>
          </w:p>
        </w:tc>
        <w:tc>
          <w:tcPr>
            <w:tcW w:type="dxa" w:w="864"/>
          </w:tcPr>
          <w:p>
            <w:r>
              <w:t>−16 pp</w:t>
            </w:r>
          </w:p>
        </w:tc>
        <w:tc>
          <w:tcPr>
            <w:tcW w:type="dxa" w:w="864"/>
          </w:tcPr>
          <w:p>
            <w:r>
              <w:t>+0.188</w:t>
            </w:r>
          </w:p>
        </w:tc>
        <w:tc>
          <w:tcPr>
            <w:tcW w:type="dxa" w:w="864"/>
          </w:tcPr>
          <w:p>
            <w:r>
              <w:t>+0.194</w:t>
            </w:r>
          </w:p>
        </w:tc>
        <w:tc>
          <w:tcPr>
            <w:tcW w:type="dxa" w:w="864"/>
          </w:tcPr>
          <w:p>
            <w:r>
              <w:t>+0.422</w:t>
            </w:r>
          </w:p>
        </w:tc>
      </w:tr>
    </w:tbl>
    <w:p>
      <w:pPr>
        <w:pStyle w:val="Heading3"/>
      </w:pPr>
      <w:r>
        <w:rPr>
          <w:color w:val="000000"/>
        </w:rPr>
        <w:t xml:space="preserve">4.4.5 </w:t>
      </w:r>
      <w:r>
        <w:rPr>
          <w:rFonts w:ascii="宋体" w:hAnsi="宋体" w:eastAsia="宋体"/>
          <w:color w:val="000000"/>
        </w:rPr>
        <w:t>生产管道的策略选择</w:t>
      </w:r>
    </w:p>
    <w:p>
      <w:r>
        <w:rPr>
          <w:rFonts w:ascii="宋体" w:hAnsi="宋体" w:eastAsia="宋体"/>
        </w:rPr>
        <w:t>生产编码器采用</w:t>
      </w:r>
      <w:r>
        <w:t xml:space="preserve"> S4 </w:t>
      </w:r>
      <w:r>
        <w:rPr>
          <w:rFonts w:ascii="宋体" w:hAnsi="宋体" w:eastAsia="宋体"/>
        </w:rPr>
        <w:t>两步判断设计而非</w:t>
      </w:r>
      <w:r>
        <w:t xml:space="preserve"> S1</w:t>
      </w:r>
      <w:r>
        <w:t>。该选择偏向召回（</w:t>
      </w:r>
      <w:r>
        <w:t xml:space="preserve">0.872 </w:t>
      </w:r>
      <w:r>
        <w:rPr>
          <w:rFonts w:ascii="宋体" w:hAnsi="宋体" w:eastAsia="宋体"/>
        </w:rPr>
        <w:t>对</w:t>
      </w:r>
      <w:r>
        <w:t xml:space="preserve"> 0.634</w:t>
      </w:r>
      <w:r>
        <w:t>）与数据库所需的分层证据输出，代价是精确率（</w:t>
      </w:r>
      <w:r>
        <w:t>0.565</w:t>
      </w:r>
      <w:r>
        <w:t>），与</w:t>
      </w:r>
      <w:r>
        <w:t xml:space="preserve"> S1 </w:t>
      </w:r>
      <w:r>
        <w:rPr>
          <w:rFonts w:ascii="宋体" w:hAnsi="宋体" w:eastAsia="宋体"/>
        </w:rPr>
        <w:t>的</w:t>
      </w:r>
      <w:r>
        <w:t xml:space="preserve"> F1 </w:t>
      </w:r>
      <w:r>
        <w:rPr>
          <w:rFonts w:ascii="宋体" w:hAnsi="宋体" w:eastAsia="宋体"/>
        </w:rPr>
        <w:t>差距小且置信区间重叠。三层证据分级方案（</w:t>
      </w:r>
      <w:r>
        <w:t xml:space="preserve">3.1 </w:t>
      </w:r>
      <w:r>
        <w:rPr>
          <w:rFonts w:ascii="宋体" w:hAnsi="宋体" w:eastAsia="宋体"/>
        </w:rPr>
        <w:t>节）即补偿设计：低精确编码按层级标注，下游用户得以区分逐字证据编码与先验推断编码，而非将每条标注视为同等支撑。</w:t>
      </w:r>
    </w:p>
    <w:p>
      <w:pPr>
        <w:pStyle w:val="Heading2"/>
      </w:pPr>
      <w:r>
        <w:rPr>
          <w:color w:val="000000"/>
        </w:rPr>
        <w:t xml:space="preserve">4.5 </w:t>
      </w:r>
      <w:r>
        <w:rPr>
          <w:rFonts w:ascii="宋体" w:hAnsi="宋体" w:eastAsia="宋体"/>
          <w:color w:val="000000"/>
        </w:rPr>
        <w:t>实验三：</w:t>
      </w:r>
      <w:r>
        <w:rPr>
          <w:color w:val="000000"/>
        </w:rPr>
        <w:t xml:space="preserve">LLM </w:t>
      </w:r>
      <w:r>
        <w:rPr>
          <w:rFonts w:ascii="宋体" w:hAnsi="宋体" w:eastAsia="宋体"/>
          <w:color w:val="000000"/>
        </w:rPr>
        <w:t>与一名受训标注者的一致性</w:t>
      </w:r>
    </w:p>
    <w:p>
      <w:r>
        <w:rPr>
          <w:rFonts w:ascii="宋体" w:hAnsi="宋体" w:eastAsia="宋体"/>
        </w:rPr>
        <w:t>第三个实验测量</w:t>
      </w:r>
      <w:r>
        <w:t xml:space="preserve"> LLM </w:t>
      </w:r>
      <w:r>
        <w:rPr>
          <w:rFonts w:ascii="宋体" w:hAnsi="宋体" w:eastAsia="宋体"/>
        </w:rPr>
        <w:t>的基础字段标注是否与受训人工标注者一致。口径精确表述：这是一项单一</w:t>
      </w:r>
      <w:r>
        <w:t xml:space="preserve"> LLM </w:t>
      </w:r>
      <w:r>
        <w:rPr>
          <w:rFonts w:ascii="宋体" w:hAnsi="宋体" w:eastAsia="宋体"/>
        </w:rPr>
        <w:t>配置与一名标注者、六项字段（</w:t>
      </w:r>
      <w:r>
        <w:t xml:space="preserve">33 </w:t>
      </w:r>
      <w:r>
        <w:rPr>
          <w:rFonts w:ascii="宋体" w:hAnsi="宋体" w:eastAsia="宋体"/>
        </w:rPr>
        <w:t>项中）的一致性研究，不是专家级准确性的认证，也不涉及致因编码。</w:t>
      </w:r>
    </w:p>
    <w:p>
      <w:r>
        <w:rPr>
          <w:rFonts w:ascii="宋体" w:hAnsi="宋体" w:eastAsia="宋体"/>
        </w:rPr>
        <w:t>在一致性样本（</w:t>
      </w:r>
      <w:r>
        <w:t>n=289</w:t>
      </w:r>
      <w:r>
        <w:t>）上，</w:t>
      </w:r>
      <w:r>
        <w:t xml:space="preserve">LLM </w:t>
      </w:r>
      <w:r>
        <w:rPr>
          <w:rFonts w:ascii="宋体" w:hAnsi="宋体" w:eastAsia="宋体"/>
        </w:rPr>
        <w:t>与标注者独立标注六项字段。表</w:t>
      </w:r>
      <w:r>
        <w:t xml:space="preserve"> 9 </w:t>
      </w:r>
      <w:r>
        <w:rPr>
          <w:rFonts w:ascii="宋体" w:hAnsi="宋体" w:eastAsia="宋体"/>
        </w:rPr>
        <w:t>报告结果。三个分类字段的</w:t>
      </w:r>
      <w:r>
        <w:t xml:space="preserve"> Cohen's kappa </w:t>
      </w:r>
      <w:r>
        <w:rPr>
          <w:rFonts w:ascii="宋体" w:hAnsi="宋体" w:eastAsia="宋体"/>
        </w:rPr>
        <w:t>为</w:t>
      </w:r>
      <w:r>
        <w:t xml:space="preserve"> 0.9136</w:t>
      </w:r>
      <w:r>
        <w:t>（事故类型）、</w:t>
      </w:r>
      <w:r>
        <w:t>0.9477</w:t>
      </w:r>
      <w:r>
        <w:t>（等级）、</w:t>
      </w:r>
      <w:r>
        <w:t>0.9746</w:t>
      </w:r>
      <w:r>
        <w:t>（省份）；两个计数字段的</w:t>
      </w:r>
      <w:r>
        <w:t xml:space="preserve"> ICC(2,1) </w:t>
      </w:r>
      <w:r>
        <w:rPr>
          <w:rFonts w:ascii="宋体" w:hAnsi="宋体" w:eastAsia="宋体"/>
        </w:rPr>
        <w:t>为</w:t>
      </w:r>
      <w:r>
        <w:t xml:space="preserve"> 0.9849</w:t>
      </w:r>
      <w:r>
        <w:t>（死亡）与</w:t>
      </w:r>
      <w:r>
        <w:t xml:space="preserve"> 0.9853</w:t>
      </w:r>
      <w:r>
        <w:t>（受伤），平均绝对误差每条</w:t>
      </w:r>
      <w:r>
        <w:t xml:space="preserve"> 0.118 </w:t>
      </w:r>
      <w:r>
        <w:rPr>
          <w:rFonts w:ascii="宋体" w:hAnsi="宋体" w:eastAsia="宋体"/>
        </w:rPr>
        <w:t>与</w:t>
      </w:r>
      <w:r>
        <w:t xml:space="preserve"> 0.087</w:t>
      </w:r>
      <w:r>
        <w:t>；日期年</w:t>
      </w:r>
      <w:r>
        <w:t>-</w:t>
      </w:r>
      <w:r>
        <w:rPr>
          <w:rFonts w:ascii="宋体" w:hAnsi="宋体" w:eastAsia="宋体"/>
        </w:rPr>
        <w:t>月匹配率</w:t>
      </w:r>
      <w:r>
        <w:t xml:space="preserve"> 99.7%</w:t>
      </w:r>
      <w:r>
        <w:t>。三种统计量针对三种字段，我们按各自名称报告，不以单一</w:t>
      </w:r>
      <w:r>
        <w:t xml:space="preserve"> kappa </w:t>
      </w:r>
      <w:r>
        <w:rPr>
          <w:rFonts w:ascii="宋体" w:hAnsi="宋体" w:eastAsia="宋体"/>
        </w:rPr>
        <w:t>标签统称。</w:t>
      </w:r>
    </w:p>
    <w:p>
      <w:r>
        <w:rPr>
          <w:rFonts w:ascii="宋体" w:hAnsi="宋体" w:eastAsia="宋体"/>
          <w:b/>
        </w:rPr>
        <w:t>表 9. LLM 与一名受训标注者在六项基础字段上的一致性（n=289）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特征</w:t>
            </w:r>
          </w:p>
        </w:tc>
        <w:tc>
          <w:tcPr>
            <w:tcW w:type="dxa" w:w="2160"/>
          </w:tcPr>
          <w:p>
            <w:r>
              <w:rPr>
                <w:b/>
              </w:rPr>
              <w:t>指标</w:t>
            </w:r>
          </w:p>
        </w:tc>
        <w:tc>
          <w:tcPr>
            <w:tcW w:type="dxa" w:w="2160"/>
          </w:tcPr>
          <w:p>
            <w:r>
              <w:rPr>
                <w:b/>
              </w:rPr>
              <w:t>数值 [95% CI]</w:t>
            </w:r>
          </w:p>
        </w:tc>
        <w:tc>
          <w:tcPr>
            <w:tcW w:type="dxa" w:w="2160"/>
          </w:tcPr>
          <w:p>
            <w:r>
              <w:rPr>
                <w:b/>
              </w:rPr>
              <w:t>一致率</w:t>
            </w:r>
          </w:p>
        </w:tc>
      </w:tr>
      <w:tr>
        <w:tc>
          <w:tcPr>
            <w:tcW w:type="dxa" w:w="2160"/>
          </w:tcPr>
          <w:p>
            <w:r>
              <w:t>事故类型</w:t>
            </w:r>
          </w:p>
        </w:tc>
        <w:tc>
          <w:tcPr>
            <w:tcW w:type="dxa" w:w="2160"/>
          </w:tcPr>
          <w:p>
            <w:r>
              <w:t>Cohen's κ</w:t>
            </w:r>
          </w:p>
        </w:tc>
        <w:tc>
          <w:tcPr>
            <w:tcW w:type="dxa" w:w="2160"/>
          </w:tcPr>
          <w:p>
            <w:r>
              <w:t>0.9136 [0.8747, 0.9466]</w:t>
            </w:r>
          </w:p>
        </w:tc>
        <w:tc>
          <w:tcPr>
            <w:tcW w:type="dxa" w:w="2160"/>
          </w:tcPr>
          <w:p>
            <w:r>
              <w:t>93.4%</w:t>
            </w:r>
          </w:p>
        </w:tc>
      </w:tr>
      <w:tr>
        <w:tc>
          <w:tcPr>
            <w:tcW w:type="dxa" w:w="2160"/>
          </w:tcPr>
          <w:p>
            <w:r>
              <w:t>事故等级</w:t>
            </w:r>
          </w:p>
        </w:tc>
        <w:tc>
          <w:tcPr>
            <w:tcW w:type="dxa" w:w="2160"/>
          </w:tcPr>
          <w:p>
            <w:r>
              <w:t>Cohen's κ</w:t>
            </w:r>
          </w:p>
        </w:tc>
        <w:tc>
          <w:tcPr>
            <w:tcW w:type="dxa" w:w="2160"/>
          </w:tcPr>
          <w:p>
            <w:r>
              <w:t>0.9477 [0.9024, 0.9841]</w:t>
            </w:r>
          </w:p>
        </w:tc>
        <w:tc>
          <w:tcPr>
            <w:tcW w:type="dxa" w:w="2160"/>
          </w:tcPr>
          <w:p>
            <w:r>
              <w:t>97.6%</w:t>
            </w:r>
          </w:p>
        </w:tc>
      </w:tr>
      <w:tr>
        <w:tc>
          <w:tcPr>
            <w:tcW w:type="dxa" w:w="2160"/>
          </w:tcPr>
          <w:p>
            <w:r>
              <w:t>省份</w:t>
            </w:r>
          </w:p>
        </w:tc>
        <w:tc>
          <w:tcPr>
            <w:tcW w:type="dxa" w:w="2160"/>
          </w:tcPr>
          <w:p>
            <w:r>
              <w:t>Cohen's κ</w:t>
            </w:r>
          </w:p>
        </w:tc>
        <w:tc>
          <w:tcPr>
            <w:tcW w:type="dxa" w:w="2160"/>
          </w:tcPr>
          <w:p>
            <w:r>
              <w:t>0.9746 [0.9563, 0.9927]</w:t>
            </w:r>
          </w:p>
        </w:tc>
        <w:tc>
          <w:tcPr>
            <w:tcW w:type="dxa" w:w="2160"/>
          </w:tcPr>
          <w:p>
            <w:r>
              <w:t>97.6%</w:t>
            </w:r>
          </w:p>
        </w:tc>
      </w:tr>
      <w:tr>
        <w:tc>
          <w:tcPr>
            <w:tcW w:type="dxa" w:w="2160"/>
          </w:tcPr>
          <w:p>
            <w:r>
              <w:t>死亡人数</w:t>
            </w:r>
          </w:p>
        </w:tc>
        <w:tc>
          <w:tcPr>
            <w:tcW w:type="dxa" w:w="2160"/>
          </w:tcPr>
          <w:p>
            <w:r>
              <w:t>ICC(2,1)</w:t>
            </w:r>
          </w:p>
        </w:tc>
        <w:tc>
          <w:tcPr>
            <w:tcW w:type="dxa" w:w="2160"/>
          </w:tcPr>
          <w:p>
            <w:r>
              <w:t>0.9849 [0.9292, 0.9991]</w:t>
            </w:r>
          </w:p>
        </w:tc>
        <w:tc>
          <w:tcPr>
            <w:tcW w:type="dxa" w:w="2160"/>
          </w:tcPr>
          <w:p>
            <w:r>
              <w:t>MAE 0.118</w:t>
            </w:r>
          </w:p>
        </w:tc>
      </w:tr>
      <w:tr>
        <w:tc>
          <w:tcPr>
            <w:tcW w:type="dxa" w:w="2160"/>
          </w:tcPr>
          <w:p>
            <w:r>
              <w:t>受伤人数</w:t>
            </w:r>
          </w:p>
        </w:tc>
        <w:tc>
          <w:tcPr>
            <w:tcW w:type="dxa" w:w="2160"/>
          </w:tcPr>
          <w:p>
            <w:r>
              <w:t>ICC(2,1)</w:t>
            </w:r>
          </w:p>
        </w:tc>
        <w:tc>
          <w:tcPr>
            <w:tcW w:type="dxa" w:w="2160"/>
          </w:tcPr>
          <w:p>
            <w:r>
              <w:t>0.9853 [0.9426, 0.9995]</w:t>
            </w:r>
          </w:p>
        </w:tc>
        <w:tc>
          <w:tcPr>
            <w:tcW w:type="dxa" w:w="2160"/>
          </w:tcPr>
          <w:p>
            <w:r>
              <w:t>MAE 0.087</w:t>
            </w:r>
          </w:p>
        </w:tc>
      </w:tr>
      <w:tr>
        <w:tc>
          <w:tcPr>
            <w:tcW w:type="dxa" w:w="2160"/>
          </w:tcPr>
          <w:p>
            <w:r>
              <w:t>日期（年-月）</w:t>
            </w:r>
          </w:p>
        </w:tc>
        <w:tc>
          <w:tcPr>
            <w:tcW w:type="dxa" w:w="2160"/>
          </w:tcPr>
          <w:p>
            <w:r>
              <w:t>匹配率</w:t>
            </w:r>
          </w:p>
        </w:tc>
        <w:tc>
          <w:tcPr>
            <w:tcW w:type="dxa" w:w="2160"/>
          </w:tcPr>
          <w:p>
            <w:r>
              <w:t>0.9965</w:t>
            </w:r>
          </w:p>
        </w:tc>
        <w:tc>
          <w:tcPr>
            <w:tcW w:type="dxa" w:w="2160"/>
          </w:tcPr>
          <w:p>
            <w:r>
              <w:t>99.7%</w:t>
            </w:r>
          </w:p>
        </w:tc>
      </w:tr>
    </w:tbl>
    <w:p>
      <w:r>
        <w:rPr>
          <w:rFonts w:ascii="宋体" w:hAnsi="宋体" w:eastAsia="宋体"/>
        </w:rPr>
        <w:t>另两条边界。其一，一致性不等于准确性：双方可能共同犯错，该样本无独立仲裁标签。其二，比较仅覆盖六项基础字段；论文的核心标注对象致因编码没有同规模的一致性研究，三专家标注仅覆盖</w:t>
      </w:r>
      <w:r>
        <w:t xml:space="preserve"> 100 </w:t>
      </w:r>
      <w:r>
        <w:rPr>
          <w:rFonts w:ascii="宋体" w:hAnsi="宋体" w:eastAsia="宋体"/>
        </w:rPr>
        <w:t>条策略子集。早期草稿曾引用另一批</w:t>
      </w:r>
      <w:r>
        <w:t xml:space="preserve"> 100 </w:t>
      </w:r>
      <w:r>
        <w:rPr>
          <w:rFonts w:ascii="宋体" w:hAnsi="宋体" w:eastAsia="宋体"/>
        </w:rPr>
        <w:t>条三专家样本的专家间区间作为等效界限；因该样本与</w:t>
      </w:r>
      <w:r>
        <w:t xml:space="preserve"> 289 </w:t>
      </w:r>
      <w:r>
        <w:rPr>
          <w:rFonts w:ascii="宋体" w:hAnsi="宋体" w:eastAsia="宋体"/>
        </w:rPr>
        <w:t>条样本在构成与难度上不同，本版不再将其作为界限呈现，仅按自身数值报告一致性。图</w:t>
      </w:r>
      <w:r>
        <w:t xml:space="preserve"> 6 </w:t>
      </w:r>
      <w:r>
        <w:rPr>
          <w:rFonts w:ascii="宋体" w:hAnsi="宋体" w:eastAsia="宋体"/>
        </w:rPr>
        <w:t>绘制各</w:t>
      </w:r>
      <w:r>
        <w:t xml:space="preserve"> kappa </w:t>
      </w:r>
      <w:r>
        <w:rPr>
          <w:rFonts w:ascii="宋体" w:hAnsi="宋体" w:eastAsia="宋体"/>
        </w:rPr>
        <w:t>值及其置信区间。</w:t>
      </w:r>
    </w:p>
    <w:p>
      <w:pPr>
        <w:jc w:val="center"/>
      </w:pPr>
      <w:r>
        <w:drawing>
          <wp:inline xmlns:a="http://schemas.openxmlformats.org/drawingml/2006/main" xmlns:pic="http://schemas.openxmlformats.org/drawingml/2006/picture">
            <wp:extent cx="5486400" cy="3708875"/>
            <wp:docPr id="6" name="Picture 6"/>
            <wp:cNvGraphicFramePr>
              <a:graphicFrameLocks noChangeAspect="1"/>
            </wp:cNvGraphicFramePr>
            <a:graphic>
              <a:graphicData uri="http://schemas.openxmlformats.org/drawingml/2006/picture">
                <pic:pic>
                  <pic:nvPicPr>
                    <pic:cNvPr id="0" name="fig6_kappa.png"/>
                    <pic:cNvPicPr/>
                  </pic:nvPicPr>
                  <pic:blipFill>
                    <a:blip r:embed="rId14"/>
                    <a:stretch>
                      <a:fillRect/>
                    </a:stretch>
                  </pic:blipFill>
                  <pic:spPr>
                    <a:xfrm>
                      <a:off x="0" y="0"/>
                      <a:ext cx="5486400" cy="3708875"/>
                    </a:xfrm>
                    <a:prstGeom prst="rect"/>
                  </pic:spPr>
                </pic:pic>
              </a:graphicData>
            </a:graphic>
          </wp:inline>
        </w:drawing>
      </w:r>
    </w:p>
    <w:p>
      <w:r>
        <w:rPr>
          <w:rFonts w:ascii="宋体" w:hAnsi="宋体" w:eastAsia="宋体"/>
          <w:b/>
        </w:rPr>
        <w:t>图 6. LLM 与一名标注者在六项字段上的一致性</w:t>
      </w:r>
    </w:p>
    <w:p>
      <w:pPr>
        <w:pStyle w:val="Heading1"/>
      </w:pPr>
      <w:r>
        <w:rPr>
          <w:color w:val="000000"/>
          <w:sz w:val="28"/>
        </w:rPr>
        <w:t xml:space="preserve">5. </w:t>
      </w:r>
      <w:r>
        <w:rPr>
          <w:rFonts w:ascii="宋体" w:hAnsi="宋体" w:eastAsia="宋体"/>
          <w:color w:val="000000"/>
          <w:sz w:val="28"/>
        </w:rPr>
        <w:t>讨论</w:t>
      </w:r>
    </w:p>
    <w:p>
      <w:pPr>
        <w:pStyle w:val="Heading2"/>
      </w:pPr>
      <w:r>
        <w:rPr>
          <w:color w:val="000000"/>
        </w:rPr>
        <w:t xml:space="preserve">5.1 </w:t>
      </w:r>
      <w:r>
        <w:rPr>
          <w:rFonts w:ascii="宋体" w:hAnsi="宋体" w:eastAsia="宋体"/>
          <w:color w:val="000000"/>
        </w:rPr>
        <w:t>意义</w:t>
      </w:r>
    </w:p>
    <w:p>
      <w:r>
        <w:rPr>
          <w:rFonts w:ascii="宋体" w:hAnsi="宋体" w:eastAsia="宋体"/>
        </w:rPr>
        <w:t>对数据工程实践有三重推论，均在各自范围内陈述。其一，三层证据分级方案为</w:t>
      </w:r>
      <w:r>
        <w:t>"</w:t>
      </w:r>
      <w:r>
        <w:rPr>
          <w:rFonts w:ascii="宋体" w:hAnsi="宋体" w:eastAsia="宋体"/>
        </w:rPr>
        <w:t>每个编码必须带逐字支撑</w:t>
      </w:r>
      <w:r>
        <w:t>"</w:t>
      </w:r>
      <w:r>
        <w:rPr>
          <w:rFonts w:ascii="宋体" w:hAnsi="宋体" w:eastAsia="宋体"/>
        </w:rPr>
        <w:t>的全有或全无声明提供了可用的替代：先验推断编码对下游分析有用，前提是分字段存储、展示与报告</w:t>
      </w:r>
      <w:r>
        <w:t>——</w:t>
      </w:r>
      <w:r>
        <w:rPr>
          <w:rFonts w:ascii="宋体" w:hAnsi="宋体" w:eastAsia="宋体"/>
        </w:rPr>
        <w:t>管道正是如此。其二，措辞观察概括为一条设计告诫：在本模型与本任务上，疑问式条件检查措辞抑制了隐性类别的同义证据，两步判断措辞恢复了其中大部分（</w:t>
      </w:r>
      <w:r>
        <w:t xml:space="preserve">M1 </w:t>
      </w:r>
      <w:r>
        <w:rPr>
          <w:rFonts w:ascii="宋体" w:hAnsi="宋体" w:eastAsia="宋体"/>
        </w:rPr>
        <w:t>恢复总量</w:t>
      </w:r>
      <w:r>
        <w:t xml:space="preserve"> 0.847 </w:t>
      </w:r>
      <w:r>
        <w:rPr>
          <w:rFonts w:ascii="宋体" w:hAnsi="宋体" w:eastAsia="宋体"/>
        </w:rPr>
        <w:t>中的</w:t>
      </w:r>
      <w:r>
        <w:t xml:space="preserve"> 0.800</w:t>
      </w:r>
      <w:r>
        <w:t>）。设计召回关键抽取提示的实践者应测试措辞变体，而非假定所列关键词天然作为示例线索起作用。其三，一致性结果支持一项有限的声明：在六项基础字段上，单一</w:t>
      </w:r>
      <w:r>
        <w:t xml:space="preserve"> LLM </w:t>
      </w:r>
      <w:r>
        <w:rPr>
          <w:rFonts w:ascii="宋体" w:hAnsi="宋体" w:eastAsia="宋体"/>
        </w:rPr>
        <w:t>配置与一名受训标注者达到高协议一致性</w:t>
      </w:r>
      <w:r>
        <w:t>——</w:t>
      </w:r>
      <w:r>
        <w:rPr>
          <w:rFonts w:ascii="宋体" w:hAnsi="宋体" w:eastAsia="宋体"/>
        </w:rPr>
        <w:t>这支持以</w:t>
      </w:r>
      <w:r>
        <w:t xml:space="preserve"> LLM </w:t>
      </w:r>
      <w:r>
        <w:rPr>
          <w:rFonts w:ascii="宋体" w:hAnsi="宋体" w:eastAsia="宋体"/>
        </w:rPr>
        <w:t>在人工监督下</w:t>
      </w:r>
      <w:r>
        <w:rPr>
          <w:rFonts w:ascii="宋体" w:hAnsi="宋体" w:eastAsia="宋体"/>
          <w:b/>
        </w:rPr>
        <w:t>减轻</w:t>
      </w:r>
      <w:r>
        <w:t>（而非取代）这些字段的标注工作量。</w:t>
      </w:r>
    </w:p>
    <w:p>
      <w:pPr>
        <w:pStyle w:val="Heading2"/>
      </w:pPr>
      <w:r>
        <w:rPr>
          <w:color w:val="000000"/>
        </w:rPr>
        <w:t xml:space="preserve">5.2 </w:t>
      </w:r>
      <w:r>
        <w:rPr>
          <w:rFonts w:ascii="宋体" w:hAnsi="宋体" w:eastAsia="宋体"/>
          <w:color w:val="000000"/>
        </w:rPr>
        <w:t>与既有工作的对比</w:t>
      </w:r>
    </w:p>
    <w:p>
      <w:r>
        <w:rPr>
          <w:rFonts w:ascii="宋体" w:hAnsi="宋体" w:eastAsia="宋体"/>
        </w:rPr>
        <w:t>表</w:t>
      </w:r>
      <w:r>
        <w:t xml:space="preserve"> 10 </w:t>
      </w:r>
      <w:r>
        <w:rPr>
          <w:rFonts w:ascii="宋体" w:hAnsi="宋体" w:eastAsia="宋体"/>
        </w:rPr>
        <w:t>沿可据已发表报告比较的维度</w:t>
      </w:r>
      <w:r>
        <w:t>——</w:t>
      </w:r>
      <w:r>
        <w:rPr>
          <w:rFonts w:ascii="宋体" w:hAnsi="宋体" w:eastAsia="宋体"/>
        </w:rPr>
        <w:t>数据来源、记录规模、人工验证、证据绑定、系统可访问性</w:t>
      </w:r>
      <w:r>
        <w:t>——</w:t>
      </w:r>
      <w:r>
        <w:rPr>
          <w:rFonts w:ascii="宋体" w:hAnsi="宋体" w:eastAsia="宋体"/>
        </w:rPr>
        <w:t>将</w:t>
      </w:r>
      <w:r>
        <w:t xml:space="preserve"> CAIEMS </w:t>
      </w:r>
      <w:r>
        <w:rPr>
          <w:rFonts w:ascii="宋体" w:hAnsi="宋体" w:eastAsia="宋体"/>
        </w:rPr>
        <w:t>与代表性既有系统并置。我们将其呈现为描述性对比，而非排他性新颖性的证据；若干既有系统已组合了采集、</w:t>
      </w:r>
      <w:r>
        <w:t xml:space="preserve">LLM </w:t>
      </w:r>
      <w:r>
        <w:rPr>
          <w:rFonts w:ascii="宋体" w:hAnsi="宋体" w:eastAsia="宋体"/>
        </w:rPr>
        <w:t>抽取与图谱</w:t>
      </w:r>
      <w:r>
        <w:t>/</w:t>
      </w:r>
      <w:r>
        <w:rPr>
          <w:rFonts w:ascii="宋体" w:hAnsi="宋体" w:eastAsia="宋体"/>
        </w:rPr>
        <w:t>数据库存储，本工作的侧重在分层证据标注与可更新查询接口。</w:t>
      </w:r>
    </w:p>
    <w:p>
      <w:r>
        <w:rPr>
          <w:rFonts w:ascii="宋体" w:hAnsi="宋体" w:eastAsia="宋体"/>
          <w:b/>
        </w:rPr>
        <w:t>表 10. 与代表性既有系统的描述性对比</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系统</w:t>
            </w:r>
          </w:p>
        </w:tc>
        <w:tc>
          <w:tcPr>
            <w:tcW w:type="dxa" w:w="1234"/>
          </w:tcPr>
          <w:p>
            <w:r>
              <w:rPr>
                <w:b/>
              </w:rPr>
              <w:t>领域</w:t>
            </w:r>
          </w:p>
        </w:tc>
        <w:tc>
          <w:tcPr>
            <w:tcW w:type="dxa" w:w="1234"/>
          </w:tcPr>
          <w:p>
            <w:r>
              <w:rPr>
                <w:b/>
              </w:rPr>
              <w:t>LLM</w:t>
            </w:r>
          </w:p>
        </w:tc>
        <w:tc>
          <w:tcPr>
            <w:tcW w:type="dxa" w:w="1234"/>
          </w:tcPr>
          <w:p>
            <w:r>
              <w:rPr>
                <w:b/>
              </w:rPr>
              <w:t>编码方案</w:t>
            </w:r>
          </w:p>
        </w:tc>
        <w:tc>
          <w:tcPr>
            <w:tcW w:type="dxa" w:w="1234"/>
          </w:tcPr>
          <w:p>
            <w:r>
              <w:rPr>
                <w:b/>
              </w:rPr>
              <w:t>证据绑定</w:t>
            </w:r>
          </w:p>
        </w:tc>
        <w:tc>
          <w:tcPr>
            <w:tcW w:type="dxa" w:w="1234"/>
          </w:tcPr>
          <w:p>
            <w:r>
              <w:rPr>
                <w:b/>
              </w:rPr>
              <w:t>人工验证</w:t>
            </w:r>
          </w:p>
        </w:tc>
        <w:tc>
          <w:tcPr>
            <w:tcW w:type="dxa" w:w="1234"/>
          </w:tcPr>
          <w:p>
            <w:r>
              <w:rPr>
                <w:b/>
              </w:rPr>
              <w:t>交互访问</w:t>
            </w:r>
          </w:p>
        </w:tc>
      </w:tr>
      <w:tr>
        <w:tc>
          <w:tcPr>
            <w:tcW w:type="dxa" w:w="1234"/>
          </w:tcPr>
          <w:p>
            <w:r>
              <w:t>Liu et al. (2025a)</w:t>
            </w:r>
          </w:p>
        </w:tc>
        <w:tc>
          <w:tcPr>
            <w:tcW w:type="dxa" w:w="1234"/>
          </w:tcPr>
          <w:p>
            <w:r>
              <w:t>航空</w:t>
            </w:r>
          </w:p>
        </w:tc>
        <w:tc>
          <w:tcPr>
            <w:tcW w:type="dxa" w:w="1234"/>
          </w:tcPr>
          <w:p>
            <w:r>
              <w:t>GPT-4o</w:t>
            </w:r>
          </w:p>
        </w:tc>
        <w:tc>
          <w:tcPr>
            <w:tcW w:type="dxa" w:w="1234"/>
          </w:tcPr>
          <w:p>
            <w:r>
              <w:t>HFACS</w:t>
            </w:r>
          </w:p>
        </w:tc>
        <w:tc>
          <w:tcPr>
            <w:tcW w:type="dxa" w:w="1234"/>
          </w:tcPr>
          <w:p>
            <w:r>
              <w:t>无</w:t>
            </w:r>
          </w:p>
        </w:tc>
        <w:tc>
          <w:tcPr>
            <w:tcW w:type="dxa" w:w="1234"/>
          </w:tcPr>
          <w:p>
            <w:r>
              <w:t>专家标注数据集</w:t>
            </w:r>
          </w:p>
        </w:tc>
        <w:tc>
          <w:tcPr>
            <w:tcW w:type="dxa" w:w="1234"/>
          </w:tcPr>
          <w:p>
            <w:r>
              <w:t>无</w:t>
            </w:r>
          </w:p>
        </w:tc>
      </w:tr>
      <w:tr>
        <w:tc>
          <w:tcPr>
            <w:tcW w:type="dxa" w:w="1234"/>
          </w:tcPr>
          <w:p>
            <w:r>
              <w:t>Kim and Han (2024)</w:t>
            </w:r>
          </w:p>
        </w:tc>
        <w:tc>
          <w:tcPr>
            <w:tcW w:type="dxa" w:w="1234"/>
          </w:tcPr>
          <w:p>
            <w:r>
              <w:t>施工（韩）</w:t>
            </w:r>
          </w:p>
        </w:tc>
        <w:tc>
          <w:tcPr>
            <w:tcW w:type="dxa" w:w="1234"/>
          </w:tcPr>
          <w:p>
            <w:r>
              <w:t>Claude 3.5</w:t>
            </w:r>
          </w:p>
        </w:tc>
        <w:tc>
          <w:tcPr>
            <w:tcW w:type="dxa" w:w="1234"/>
          </w:tcPr>
          <w:p>
            <w:r>
              <w:t>HFACS</w:t>
            </w:r>
          </w:p>
        </w:tc>
        <w:tc>
          <w:tcPr>
            <w:tcW w:type="dxa" w:w="1234"/>
          </w:tcPr>
          <w:p>
            <w:r>
              <w:t>无</w:t>
            </w:r>
          </w:p>
        </w:tc>
        <w:tc>
          <w:tcPr>
            <w:tcW w:type="dxa" w:w="1234"/>
          </w:tcPr>
          <w:p>
            <w:r>
              <w:t>无</w:t>
            </w:r>
          </w:p>
        </w:tc>
        <w:tc>
          <w:tcPr>
            <w:tcW w:type="dxa" w:w="1234"/>
          </w:tcPr>
          <w:p>
            <w:r>
              <w:t>无</w:t>
            </w:r>
          </w:p>
        </w:tc>
      </w:tr>
      <w:tr>
        <w:tc>
          <w:tcPr>
            <w:tcW w:type="dxa" w:w="1234"/>
          </w:tcPr>
          <w:p>
            <w:r>
              <w:t>Ahmadi et al. (2024)</w:t>
            </w:r>
          </w:p>
        </w:tc>
        <w:tc>
          <w:tcPr>
            <w:tcW w:type="dxa" w:w="1234"/>
          </w:tcPr>
          <w:p>
            <w:r>
              <w:t>施工（美）</w:t>
            </w:r>
          </w:p>
        </w:tc>
        <w:tc>
          <w:tcPr>
            <w:tcW w:type="dxa" w:w="1234"/>
          </w:tcPr>
          <w:p>
            <w:r>
              <w:t>GPT-4.0</w:t>
            </w:r>
          </w:p>
        </w:tc>
        <w:tc>
          <w:tcPr>
            <w:tcW w:type="dxa" w:w="1234"/>
          </w:tcPr>
          <w:p>
            <w:r>
              <w:t>无</w:t>
            </w:r>
          </w:p>
        </w:tc>
        <w:tc>
          <w:tcPr>
            <w:tcW w:type="dxa" w:w="1234"/>
          </w:tcPr>
          <w:p>
            <w:r>
              <w:t>无</w:t>
            </w:r>
          </w:p>
        </w:tc>
        <w:tc>
          <w:tcPr>
            <w:tcW w:type="dxa" w:w="1234"/>
          </w:tcPr>
          <w:p>
            <w:r>
              <w:t>无</w:t>
            </w:r>
          </w:p>
        </w:tc>
        <w:tc>
          <w:tcPr>
            <w:tcW w:type="dxa" w:w="1234"/>
          </w:tcPr>
          <w:p>
            <w:r>
              <w:t>无</w:t>
            </w:r>
          </w:p>
        </w:tc>
      </w:tr>
      <w:tr>
        <w:tc>
          <w:tcPr>
            <w:tcW w:type="dxa" w:w="1234"/>
          </w:tcPr>
          <w:p>
            <w:r>
              <w:t>Liu and Luo (2025)</w:t>
            </w:r>
          </w:p>
        </w:tc>
        <w:tc>
          <w:tcPr>
            <w:tcW w:type="dxa" w:w="1234"/>
          </w:tcPr>
          <w:p>
            <w:r>
              <w:t>施工</w:t>
            </w:r>
          </w:p>
        </w:tc>
        <w:tc>
          <w:tcPr>
            <w:tcW w:type="dxa" w:w="1234"/>
          </w:tcPr>
          <w:p>
            <w:r>
              <w:t>GPT-4o</w:t>
            </w:r>
          </w:p>
        </w:tc>
        <w:tc>
          <w:tcPr>
            <w:tcW w:type="dxa" w:w="1234"/>
          </w:tcPr>
          <w:p>
            <w:r>
              <w:t>Accimap</w:t>
            </w:r>
          </w:p>
        </w:tc>
        <w:tc>
          <w:tcPr>
            <w:tcW w:type="dxa" w:w="1234"/>
          </w:tcPr>
          <w:p>
            <w:r>
              <w:t>无</w:t>
            </w:r>
          </w:p>
        </w:tc>
        <w:tc>
          <w:tcPr>
            <w:tcW w:type="dxa" w:w="1234"/>
          </w:tcPr>
          <w:p>
            <w:r>
              <w:t>无</w:t>
            </w:r>
          </w:p>
        </w:tc>
        <w:tc>
          <w:tcPr>
            <w:tcW w:type="dxa" w:w="1234"/>
          </w:tcPr>
          <w:p>
            <w:r>
              <w:t>无</w:t>
            </w:r>
          </w:p>
        </w:tc>
      </w:tr>
      <w:tr>
        <w:tc>
          <w:tcPr>
            <w:tcW w:type="dxa" w:w="1234"/>
          </w:tcPr>
          <w:p>
            <w:r>
              <w:t>Jiang et al. (2026)</w:t>
            </w:r>
          </w:p>
        </w:tc>
        <w:tc>
          <w:tcPr>
            <w:tcW w:type="dxa" w:w="1234"/>
          </w:tcPr>
          <w:p>
            <w:r>
              <w:t>煤矿</w:t>
            </w:r>
          </w:p>
        </w:tc>
        <w:tc>
          <w:tcPr>
            <w:tcW w:type="dxa" w:w="1234"/>
          </w:tcPr>
          <w:p>
            <w:r>
              <w:t>LLM</w:t>
            </w:r>
          </w:p>
        </w:tc>
        <w:tc>
          <w:tcPr>
            <w:tcW w:type="dxa" w:w="1234"/>
          </w:tcPr>
          <w:p>
            <w:r>
              <w:t>自定本体</w:t>
            </w:r>
          </w:p>
        </w:tc>
        <w:tc>
          <w:tcPr>
            <w:tcW w:type="dxa" w:w="1234"/>
          </w:tcPr>
          <w:p>
            <w:r>
              <w:t>无</w:t>
            </w:r>
          </w:p>
        </w:tc>
        <w:tc>
          <w:tcPr>
            <w:tcW w:type="dxa" w:w="1234"/>
          </w:tcPr>
          <w:p>
            <w:r>
              <w:t>无</w:t>
            </w:r>
          </w:p>
        </w:tc>
        <w:tc>
          <w:tcPr>
            <w:tcW w:type="dxa" w:w="1234"/>
          </w:tcPr>
          <w:p>
            <w:r>
              <w:t>仅可视化</w:t>
            </w:r>
          </w:p>
        </w:tc>
      </w:tr>
      <w:tr>
        <w:tc>
          <w:tcPr>
            <w:tcW w:type="dxa" w:w="1234"/>
          </w:tcPr>
          <w:p>
            <w:r>
              <w:t>CAIEMS（本文）</w:t>
            </w:r>
          </w:p>
        </w:tc>
        <w:tc>
          <w:tcPr>
            <w:tcW w:type="dxa" w:w="1234"/>
          </w:tcPr>
          <w:p>
            <w:r>
              <w:t>施工（中）</w:t>
            </w:r>
          </w:p>
        </w:tc>
        <w:tc>
          <w:tcPr>
            <w:tcW w:type="dxa" w:w="1234"/>
          </w:tcPr>
          <w:p>
            <w:r>
              <w:t>DeepSeek V4</w:t>
            </w:r>
          </w:p>
        </w:tc>
        <w:tc>
          <w:tcPr>
            <w:tcW w:type="dxa" w:w="1234"/>
          </w:tcPr>
          <w:p>
            <w:r>
              <w:t>CAICS（操作性）</w:t>
            </w:r>
          </w:p>
        </w:tc>
        <w:tc>
          <w:tcPr>
            <w:tcW w:type="dxa" w:w="1234"/>
          </w:tcPr>
          <w:p>
            <w:r>
              <w:t>分层</w:t>
            </w:r>
          </w:p>
        </w:tc>
        <w:tc>
          <w:tcPr>
            <w:tcW w:type="dxa" w:w="1234"/>
          </w:tcPr>
          <w:p>
            <w:r>
              <w:t>部分（100 条子集）</w:t>
            </w:r>
          </w:p>
        </w:tc>
        <w:tc>
          <w:tcPr>
            <w:tcW w:type="dxa" w:w="1234"/>
          </w:tcPr>
          <w:p>
            <w:r>
              <w:t>Web + API</w:t>
            </w:r>
          </w:p>
        </w:tc>
      </w:tr>
    </w:tbl>
    <w:p>
      <w:pPr>
        <w:pStyle w:val="Heading2"/>
      </w:pPr>
      <w:r>
        <w:rPr>
          <w:color w:val="000000"/>
        </w:rPr>
        <w:t xml:space="preserve">5.3 </w:t>
      </w:r>
      <w:r>
        <w:rPr>
          <w:rFonts w:ascii="宋体" w:hAnsi="宋体" w:eastAsia="宋体"/>
          <w:color w:val="000000"/>
        </w:rPr>
        <w:t>局限性</w:t>
      </w:r>
    </w:p>
    <w:p>
      <w:r>
        <w:rPr>
          <w:rFonts w:ascii="宋体" w:hAnsi="宋体" w:eastAsia="宋体"/>
        </w:rPr>
        <w:t>以下按严重程度列出界定主要结论的局限性。</w:t>
      </w:r>
    </w:p>
    <w:p>
      <w:r>
        <w:t xml:space="preserve">(1) </w:t>
      </w:r>
      <w:r>
        <w:rPr>
          <w:i/>
        </w:rPr>
        <w:t>参考标准独立性。</w:t>
      </w:r>
      <w:r>
        <w:t xml:space="preserve"> 972 </w:t>
      </w:r>
      <w:r>
        <w:rPr>
          <w:rFonts w:ascii="宋体" w:hAnsi="宋体" w:eastAsia="宋体"/>
        </w:rPr>
        <w:t>条银标准部分由模型产出（管道版本一致加规则裁决）；仅</w:t>
      </w:r>
      <w:r>
        <w:t xml:space="preserve"> 100 </w:t>
      </w:r>
      <w:r>
        <w:rPr>
          <w:rFonts w:ascii="宋体" w:hAnsi="宋体" w:eastAsia="宋体"/>
        </w:rPr>
        <w:t>条致因子集承载独立三专家验证。基于银标准得出的结论继承该边界；完全独立的人工金标准</w:t>
      </w:r>
      <w:r>
        <w:t>——</w:t>
      </w:r>
      <w:r>
        <w:rPr>
          <w:rFonts w:ascii="宋体" w:hAnsi="宋体" w:eastAsia="宋体"/>
        </w:rPr>
        <w:t>含公开标注指南、标注者背景、盲法、仲裁规则与逐类样本量</w:t>
      </w:r>
      <w:r>
        <w:t>——</w:t>
      </w:r>
      <w:r>
        <w:rPr>
          <w:rFonts w:ascii="宋体" w:hAnsi="宋体" w:eastAsia="宋体"/>
        </w:rPr>
        <w:t>仍是未来工作。</w:t>
      </w:r>
    </w:p>
    <w:p>
      <w:r>
        <w:t xml:space="preserve">(2) </w:t>
      </w:r>
      <w:r>
        <w:rPr>
          <w:i/>
        </w:rPr>
        <w:t>开发-测试重叠。</w:t>
      </w:r>
      <w:r>
        <w:t xml:space="preserve"> 100 </w:t>
      </w:r>
      <w:r>
        <w:rPr>
          <w:rFonts w:ascii="宋体" w:hAnsi="宋体" w:eastAsia="宋体"/>
        </w:rPr>
        <w:t>条策略样本同时承担提示开发（</w:t>
      </w:r>
      <w:r>
        <w:t xml:space="preserve">v1 </w:t>
      </w:r>
      <w:r>
        <w:rPr>
          <w:rFonts w:ascii="宋体" w:hAnsi="宋体" w:eastAsia="宋体"/>
        </w:rPr>
        <w:t>诊断、</w:t>
      </w:r>
      <w:r>
        <w:t xml:space="preserve">v2 </w:t>
      </w:r>
      <w:r>
        <w:rPr>
          <w:rFonts w:ascii="宋体" w:hAnsi="宋体" w:eastAsia="宋体"/>
        </w:rPr>
        <w:t>设计、消融）与最终报告，三个少样本示例未按显式流程与测试记录隔离。策略结果因此带有开发集复用风险，应解读为开发评估；与全部提示设计决策隔离的冻结测试集计划于下一迭代建立。</w:t>
      </w:r>
    </w:p>
    <w:p>
      <w:r>
        <w:t xml:space="preserve">(3) </w:t>
      </w:r>
      <w:r>
        <w:rPr>
          <w:i/>
        </w:rPr>
        <w:t>提示措辞推断。</w:t>
      </w:r>
      <w:r>
        <w:t xml:space="preserve"> </w:t>
      </w:r>
      <w:r>
        <w:rPr>
          <w:rFonts w:ascii="宋体" w:hAnsi="宋体" w:eastAsia="宋体"/>
        </w:rPr>
        <w:t>四格比较在单一样本上报告简单逐对差值且各运行一次；未估计正式交互效应，也不支持模型内部机制层面的声明。词汇门控效应作为带实用补救的观察报告，而非已分离的因果机制。</w:t>
      </w:r>
    </w:p>
    <w:p>
      <w:r>
        <w:t xml:space="preserve">(4) </w:t>
      </w:r>
      <w:r>
        <w:rPr>
          <w:i/>
        </w:rPr>
        <w:t>模型比较条件。</w:t>
      </w:r>
      <w:r>
        <w:t xml:space="preserve"> </w:t>
      </w:r>
      <w:r>
        <w:rPr>
          <w:rFonts w:ascii="宋体" w:hAnsi="宋体" w:eastAsia="宋体"/>
        </w:rPr>
        <w:t>四模型运行条件不对等（强制温度、输出预算、档位路由），各配置仅运行一次，模型标识记录在家族粒度。该比较支持此约束下的选型决策，而非一般性能力排名。</w:t>
      </w:r>
    </w:p>
    <w:p>
      <w:r>
        <w:t xml:space="preserve">(5) </w:t>
      </w:r>
      <w:r>
        <w:rPr>
          <w:i/>
        </w:rPr>
        <w:t>一致性范围。</w:t>
      </w:r>
      <w:r>
        <w:t xml:space="preserve"> </w:t>
      </w:r>
      <w:r>
        <w:rPr>
          <w:rFonts w:ascii="宋体" w:hAnsi="宋体" w:eastAsia="宋体"/>
        </w:rPr>
        <w:t>一致性研究覆盖一名标注者、六项字段（</w:t>
      </w:r>
      <w:r>
        <w:t xml:space="preserve">33 </w:t>
      </w:r>
      <w:r>
        <w:rPr>
          <w:rFonts w:ascii="宋体" w:hAnsi="宋体" w:eastAsia="宋体"/>
        </w:rPr>
        <w:t>项中）、无独立仲裁；致因编码缺大规模一致性研究。结果支持人工监督下基础字段的工作量减轻，而非专家替代。</w:t>
      </w:r>
    </w:p>
    <w:p>
      <w:r>
        <w:t xml:space="preserve">(6) </w:t>
      </w:r>
      <w:r>
        <w:rPr>
          <w:i/>
        </w:rPr>
        <w:t>数据库审计。</w:t>
      </w:r>
      <w:r>
        <w:t xml:space="preserve"> </w:t>
      </w:r>
      <w:r>
        <w:rPr>
          <w:rFonts w:ascii="宋体" w:hAnsi="宋体" w:eastAsia="宋体"/>
        </w:rPr>
        <w:t>语料存在已知质量缺口：分类器的多事故残留错误未完全审计，</w:t>
      </w:r>
      <w:r>
        <w:t xml:space="preserve">3.2.4 </w:t>
      </w:r>
      <w:r>
        <w:rPr>
          <w:rFonts w:ascii="宋体" w:hAnsi="宋体" w:eastAsia="宋体"/>
        </w:rPr>
        <w:t>节所述镜像报道的四层去重之后未有对残留重复率的独立估计，字段缺失率跨字段差异大（五个枚举字段非空率</w:t>
      </w:r>
      <w:r>
        <w:t xml:space="preserve"> 13.7%–83.9%</w:t>
      </w:r>
      <w:r>
        <w:t>），且因来源为公共新闻门户与官方调查报告，语料过度代表严重事故。数据库覆盖公开可检索的事故报道；它不是全部施工事故的代表性样本。</w:t>
      </w:r>
    </w:p>
    <w:p>
      <w:r>
        <w:t xml:space="preserve">(7) </w:t>
      </w:r>
      <w:r>
        <w:rPr>
          <w:i/>
        </w:rPr>
        <w:t>数据治理。</w:t>
      </w:r>
      <w:r>
        <w:t xml:space="preserve"> </w:t>
      </w:r>
      <w:r>
        <w:rPr>
          <w:rFonts w:ascii="宋体" w:hAnsi="宋体" w:eastAsia="宋体"/>
        </w:rPr>
        <w:t>管道采集并计划再分发新闻门户与政府网站的文本与图片。公开可访问本身不足以解决再发布权利问题；逐源许可、撤回机制与创伤影像访问控制见第</w:t>
      </w:r>
      <w:r>
        <w:t xml:space="preserve"> 7 </w:t>
      </w:r>
      <w:r>
        <w:rPr>
          <w:rFonts w:ascii="宋体" w:hAnsi="宋体" w:eastAsia="宋体"/>
        </w:rPr>
        <w:t>节，须在公开前完成。</w:t>
      </w:r>
    </w:p>
    <w:p>
      <w:r>
        <w:t xml:space="preserve">(8) </w:t>
      </w:r>
      <w:r>
        <w:rPr>
          <w:i/>
        </w:rPr>
        <w:t>可复现性。</w:t>
      </w:r>
      <w:r>
        <w:t xml:space="preserve"> </w:t>
      </w:r>
      <w:r>
        <w:rPr>
          <w:rFonts w:ascii="宋体" w:hAnsi="宋体" w:eastAsia="宋体"/>
        </w:rPr>
        <w:t>数据、代码与完整提示承诺发表后公开而非投稿时公开；单次运行配置与家族粒度模型标识限制精确复现。我们承诺在重投前提供匿名只读数据库、逐字提示、最小复现包与系统演示。</w:t>
      </w:r>
    </w:p>
    <w:p>
      <w:pPr>
        <w:pStyle w:val="Heading1"/>
      </w:pPr>
      <w:r>
        <w:rPr>
          <w:color w:val="000000"/>
          <w:sz w:val="28"/>
        </w:rPr>
        <w:t xml:space="preserve">6. </w:t>
      </w:r>
      <w:r>
        <w:rPr>
          <w:rFonts w:ascii="宋体" w:hAnsi="宋体" w:eastAsia="宋体"/>
          <w:color w:val="000000"/>
          <w:sz w:val="28"/>
        </w:rPr>
        <w:t>结论</w:t>
      </w:r>
    </w:p>
    <w:p>
      <w:r>
        <w:rPr>
          <w:rFonts w:ascii="宋体" w:hAnsi="宋体" w:eastAsia="宋体"/>
        </w:rPr>
        <w:t>本文报告了</w:t>
      </w:r>
      <w:r>
        <w:t xml:space="preserve"> CAIEMS——</w:t>
      </w:r>
      <w:r>
        <w:rPr>
          <w:rFonts w:ascii="宋体" w:hAnsi="宋体" w:eastAsia="宋体"/>
        </w:rPr>
        <w:t>一条探索性</w:t>
      </w:r>
      <w:r>
        <w:t xml:space="preserve"> LLM </w:t>
      </w:r>
      <w:r>
        <w:rPr>
          <w:rFonts w:ascii="宋体" w:hAnsi="宋体" w:eastAsia="宋体"/>
        </w:rPr>
        <w:t>管道，将公开可获取的中文施工事故叙述转化为可查询的数据库原型：</w:t>
      </w:r>
      <w:r>
        <w:t xml:space="preserve">2,623 </w:t>
      </w:r>
      <w:r>
        <w:rPr>
          <w:rFonts w:ascii="宋体" w:hAnsi="宋体" w:eastAsia="宋体"/>
        </w:rPr>
        <w:t>条记录，取自网络门户与公开事故汇编，含</w:t>
      </w:r>
      <w:r>
        <w:t xml:space="preserve"> 33 </w:t>
      </w:r>
      <w:r>
        <w:rPr>
          <w:rFonts w:ascii="宋体" w:hAnsi="宋体" w:eastAsia="宋体"/>
        </w:rPr>
        <w:t>字段与</w:t>
      </w:r>
      <w:r>
        <w:t xml:space="preserve"> 16,323 </w:t>
      </w:r>
      <w:r>
        <w:rPr>
          <w:rFonts w:ascii="宋体" w:hAnsi="宋体" w:eastAsia="宋体"/>
        </w:rPr>
        <w:t>条三层分级致因标注，经</w:t>
      </w:r>
      <w:r>
        <w:t xml:space="preserve"> Web </w:t>
      </w:r>
      <w:r>
        <w:rPr>
          <w:rFonts w:ascii="宋体" w:hAnsi="宋体" w:eastAsia="宋体"/>
        </w:rPr>
        <w:t>界面与</w:t>
      </w:r>
      <w:r>
        <w:t xml:space="preserve"> REST API </w:t>
      </w:r>
      <w:r>
        <w:rPr>
          <w:rFonts w:ascii="宋体" w:hAnsi="宋体" w:eastAsia="宋体"/>
        </w:rPr>
        <w:t>服务。三项各带口径声明的支撑实验锚定可靠性讨论：支持采用</w:t>
      </w:r>
      <w:r>
        <w:t xml:space="preserve"> DeepSeek V4 </w:t>
      </w:r>
      <w:r>
        <w:rPr>
          <w:rFonts w:ascii="宋体" w:hAnsi="宋体" w:eastAsia="宋体"/>
        </w:rPr>
        <w:t>的约束性四模型比较（</w:t>
      </w:r>
      <w:r>
        <w:t xml:space="preserve">91.2% </w:t>
      </w:r>
      <w:r>
        <w:rPr>
          <w:rFonts w:ascii="宋体" w:hAnsi="宋体" w:eastAsia="宋体"/>
        </w:rPr>
        <w:t>基础字段准确率、最低成本）；发现词汇门控观察及其两步判断补救的六策略提示对比；以及显示</w:t>
      </w:r>
      <w:r>
        <w:t xml:space="preserve"> LLM </w:t>
      </w:r>
      <w:r>
        <w:rPr>
          <w:rFonts w:ascii="宋体" w:hAnsi="宋体" w:eastAsia="宋体"/>
        </w:rPr>
        <w:t>与一名受训标注者在六项基础字段上高一致性的协议研究。全文对结果边界作显式声明：银标准部分由模型产出、开发与测试样本重叠、不声称因果机制或专家替代。本工作的下一迭代遵循明确顺序：致因编码的独立人工金标准、与提示开发隔离的冻结测试集、措辞问题的正式因子设计、匹配条件下的多模型重复、以及公开前的完整数据审计与治理。</w:t>
      </w:r>
    </w:p>
    <w:p>
      <w:pPr>
        <w:pStyle w:val="Heading1"/>
      </w:pPr>
      <w:r>
        <w:rPr>
          <w:color w:val="000000"/>
          <w:sz w:val="28"/>
        </w:rPr>
        <w:t xml:space="preserve">7. </w:t>
      </w:r>
      <w:r>
        <w:rPr>
          <w:rFonts w:ascii="宋体" w:hAnsi="宋体" w:eastAsia="宋体"/>
          <w:color w:val="000000"/>
          <w:sz w:val="28"/>
        </w:rPr>
        <w:t>声明</w:t>
      </w:r>
    </w:p>
    <w:p>
      <w:r>
        <w:rPr>
          <w:rFonts w:ascii="宋体" w:hAnsi="宋体" w:eastAsia="宋体"/>
          <w:b/>
        </w:rPr>
        <w:t>数据可用性。</w:t>
      </w:r>
      <w:r>
        <w:t xml:space="preserve"> </w:t>
      </w:r>
      <w:r>
        <w:rPr>
          <w:rFonts w:ascii="宋体" w:hAnsi="宋体" w:eastAsia="宋体"/>
        </w:rPr>
        <w:t>数据库的匿名只读快照、字段字典、来源清单（构成汇总见表</w:t>
      </w:r>
      <w:r>
        <w:t xml:space="preserve"> 1</w:t>
      </w:r>
      <w:r>
        <w:t>）与</w:t>
      </w:r>
      <w:r>
        <w:t xml:space="preserve"> CAICS </w:t>
      </w:r>
      <w:r>
        <w:rPr>
          <w:rFonts w:ascii="宋体" w:hAnsi="宋体" w:eastAsia="宋体"/>
        </w:rPr>
        <w:t>操作定义将在审稿期间应要求提供，并于论文发表后公开。六种提示模板以压缩形式见附录</w:t>
      </w:r>
      <w:r>
        <w:t xml:space="preserve"> A</w:t>
      </w:r>
      <w:r>
        <w:t>；逐字提示包含于复现包。</w:t>
      </w:r>
    </w:p>
    <w:p>
      <w:r>
        <w:rPr>
          <w:rFonts w:ascii="宋体" w:hAnsi="宋体" w:eastAsia="宋体"/>
          <w:b/>
        </w:rPr>
        <w:t>代码可用性。</w:t>
      </w:r>
      <w:r>
        <w:t xml:space="preserve"> </w:t>
      </w:r>
      <w:r>
        <w:rPr>
          <w:rFonts w:ascii="宋体" w:hAnsi="宋体" w:eastAsia="宋体"/>
        </w:rPr>
        <w:t>管道、评测脚本与实验运行器将于论文发表后以开源许可证随数据发布；审稿期间可向作者索取最小复现包。</w:t>
      </w:r>
    </w:p>
    <w:p>
      <w:r>
        <w:rPr>
          <w:rFonts w:ascii="宋体" w:hAnsi="宋体" w:eastAsia="宋体"/>
          <w:b/>
        </w:rPr>
        <w:t>伦理与数据治理。</w:t>
      </w:r>
      <w:r>
        <w:t xml:space="preserve"> </w:t>
      </w:r>
      <w:r>
        <w:rPr>
          <w:rFonts w:ascii="宋体" w:hAnsi="宋体" w:eastAsia="宋体"/>
        </w:rPr>
        <w:t>本研究分析公开新闻报道与政府发布的事故通报；结构化记录中不涉及人类受试者或可识别个人信息。但公开可访问并不自动授权批量采集、长期存储与再分发。任何公开发布前须完成：逐来源许可或合理使用评估；为每条记录保留原始</w:t>
      </w:r>
      <w:r>
        <w:t xml:space="preserve"> URL </w:t>
      </w:r>
      <w:r>
        <w:rPr>
          <w:rFonts w:ascii="宋体" w:hAnsi="宋体" w:eastAsia="宋体"/>
        </w:rPr>
        <w:t>与抓取时间；对图片中的姓名与可识别面部做移除或遮蔽；应请求提供撤回删除机制；对创伤性影像设访问控制。无法确立再发布权利的第三方图片将从任何公开发布中排除。</w:t>
      </w:r>
    </w:p>
    <w:p>
      <w:r>
        <w:rPr>
          <w:rFonts w:ascii="宋体" w:hAnsi="宋体" w:eastAsia="宋体"/>
          <w:b/>
        </w:rPr>
        <w:t>作者贡献（CRediT）。</w:t>
      </w:r>
      <w:r>
        <w:t xml:space="preserve"> </w:t>
      </w:r>
      <w:r>
        <w:rPr>
          <w:rFonts w:ascii="宋体" w:hAnsi="宋体" w:eastAsia="宋体"/>
        </w:rPr>
        <w:t>孙天浩（南京工业大学）：概念化、方法、软件、数据整理、形式分析、调研、初稿撰写。</w:t>
      </w:r>
      <w:r>
        <w:t>[</w:t>
      </w:r>
      <w:r>
        <w:rPr>
          <w:rFonts w:ascii="宋体" w:hAnsi="宋体" w:eastAsia="宋体"/>
        </w:rPr>
        <w:t>导师姓名</w:t>
      </w:r>
      <w:r>
        <w:t>]</w:t>
      </w:r>
      <w:r>
        <w:t>（南京工业大学）：概念化、指导、验证、审阅与修订。</w:t>
      </w:r>
    </w:p>
    <w:p>
      <w:r>
        <w:rPr>
          <w:rFonts w:ascii="宋体" w:hAnsi="宋体" w:eastAsia="宋体"/>
          <w:b/>
        </w:rPr>
        <w:t>利益冲突声明。</w:t>
      </w:r>
      <w:r>
        <w:t xml:space="preserve"> </w:t>
      </w:r>
      <w:r>
        <w:rPr>
          <w:rFonts w:ascii="宋体" w:hAnsi="宋体" w:eastAsia="宋体"/>
        </w:rPr>
        <w:t>作者声明无利益冲突。</w:t>
      </w:r>
    </w:p>
    <w:p>
      <w:r>
        <w:rPr>
          <w:rFonts w:ascii="宋体" w:hAnsi="宋体" w:eastAsia="宋体"/>
          <w:b/>
        </w:rPr>
        <w:t>基金资助。</w:t>
      </w:r>
      <w:r>
        <w:t xml:space="preserve"> </w:t>
      </w:r>
      <w:r>
        <w:rPr>
          <w:rFonts w:ascii="宋体" w:hAnsi="宋体" w:eastAsia="宋体"/>
        </w:rPr>
        <w:t>本研究未获得公共、商业或非营利部门资助机构的专项资助。</w:t>
      </w:r>
    </w:p>
    <w:p>
      <w:r>
        <w:rPr>
          <w:rFonts w:ascii="宋体" w:hAnsi="宋体" w:eastAsia="宋体"/>
          <w:b/>
        </w:rPr>
        <w:t>AI 工具使用声明。</w:t>
      </w:r>
      <w:r>
        <w:t xml:space="preserve"> </w:t>
      </w:r>
      <w:r>
        <w:rPr>
          <w:rFonts w:ascii="宋体" w:hAnsi="宋体" w:eastAsia="宋体"/>
        </w:rPr>
        <w:t>大语言模型既是本研究的对象，也是核心技术工具：第</w:t>
      </w:r>
      <w:r>
        <w:t xml:space="preserve"> 3-4 </w:t>
      </w:r>
      <w:r>
        <w:rPr>
          <w:rFonts w:ascii="宋体" w:hAnsi="宋体" w:eastAsia="宋体"/>
        </w:rPr>
        <w:t>节报告的全部抽取、分类与编码结果均由所评测模型经记录在案的管道产出。论文撰写过程中使用了</w:t>
      </w:r>
      <w:r>
        <w:t xml:space="preserve"> LLM </w:t>
      </w:r>
      <w:r>
        <w:rPr>
          <w:rFonts w:ascii="宋体" w:hAnsi="宋体" w:eastAsia="宋体"/>
        </w:rPr>
        <w:t>写作辅助进行语言润色；全部科学内容、实验设计与数据出自作者工作并经作者核验。</w:t>
      </w:r>
    </w:p>
    <w:p>
      <w:pPr>
        <w:pStyle w:val="Heading1"/>
      </w:pPr>
      <w:r>
        <w:rPr>
          <w:rFonts w:ascii="宋体" w:hAnsi="宋体" w:eastAsia="宋体"/>
          <w:color w:val="000000"/>
          <w:sz w:val="28"/>
        </w:rPr>
        <w:t>参考文献</w:t>
      </w:r>
    </w:p>
    <w:p>
      <w:r>
        <w:t>（与英文主源一致，列表见</w:t>
      </w:r>
      <w:r>
        <w:t xml:space="preserve"> eswa_paper_v2.md References </w:t>
      </w:r>
      <w:r>
        <w:rPr>
          <w:rFonts w:ascii="宋体" w:hAnsi="宋体" w:eastAsia="宋体"/>
        </w:rPr>
        <w:t>节）</w:t>
      </w:r>
    </w:p>
    <w:p>
      <w:r>
        <w:t>Ahmadi, A., Sharif, S., Banad, Y. (2025). Improving Aviation Safety Analysis: Automated HFACS Classification Using Reinforcement Learning with Group Relative Policy Optimization. arXiv:2508.21201.</w:t>
      </w:r>
    </w:p>
    <w:p>
      <w:r>
        <w:t>Ahmadi, E., Muley, S., Wang, C. (2024). Automatic Construction Accident Report Analysis Using Large Language Models (LLMs). Journal of Intelligent Construction, 3(1).</w:t>
      </w:r>
    </w:p>
    <w:p>
      <w:r>
        <w:t>Ayhan, B.U., Tokdemir, O.B. (2019). Predicting the outcome of construction incidents. Safety Science, 113, 91–104.</w:t>
      </w:r>
    </w:p>
    <w:p>
      <w:r>
        <w:t>Brown, T., Mann, B., Ryder, N., et al. (2020). Language Models are Few-Shot Learners. NeurIPS, 33, 1877–1901.</w:t>
      </w:r>
    </w:p>
    <w:p>
      <w:r>
        <w:t>Devlin, J., Chang, M.-W., Lee, K., Toutanova, K. (2019). BERT: Pre-training of Deep Bidirectional Transformers for Language Understanding. NAACL-HLT 2019, 4171–4186.</w:t>
      </w:r>
    </w:p>
    <w:p>
      <w:r>
        <w:t>Huang, Y., Yan, R., Zhang, Z. (2026). Automated knowledge extraction from marine accident reports using large language models. Ocean &amp; Coastal Management, 272, 108015.</w:t>
      </w:r>
    </w:p>
    <w:p>
      <w:r>
        <w:t>Jiang, Y., Nie, B., Wang, J., et al. (2026). Large language model-driven knowledge graph and intelligent analysis for coal mine accidents. Measurement, 277, 121558.</w:t>
      </w:r>
    </w:p>
    <w:p>
      <w:r>
        <w:t>Kim, D., Han, S. (2024). Systemic Analysis of Fall Accidents Caused by Worker Inattention at Construction Sites. KIBIM Magazine, 14(4), 23–34.</w:t>
      </w:r>
    </w:p>
    <w:p>
      <w:r>
        <w:t>Kojima, T., Gu, S.S., Reid, M., et al. (2022). Large Language Models are Zero-Shot Reasoners. NeurIPS, 35, 22199–22213.</w:t>
      </w:r>
    </w:p>
    <w:p>
      <w:r>
        <w:t>Kong, F., Ahn, S. (2024). Use of Knowledge Graphs for Construction Safety Management: A Systematic Literature Review. Information, 15(7), 390.</w:t>
      </w:r>
    </w:p>
    <w:p>
      <w:r>
        <w:t>Liu, Q., Ding, Y., Luo, X. (2025b). Automated knowledge graph-based risk assessment for fall-from-height accidents in construction. Automation in Construction, 179, 106482.</w:t>
      </w:r>
    </w:p>
    <w:p>
      <w:r>
        <w:t>Liu, Q., Li, F., Ng, K.K.H., et al. (2025a). Accident investigation via LLMs reasoning: HFACS-guided Chain-of-Thoughts enhance general aviation safety. Expert Systems with Applications, 269, 126422.</w:t>
      </w:r>
    </w:p>
    <w:p>
      <w:r>
        <w:t>Liu, Q., Luo, X. (2025). Large language model-based knowledge graph construction of unstructured accident reports. EG-ICE 2025.</w:t>
      </w:r>
    </w:p>
    <w:p>
      <w:r>
        <w:t>Onuchukwu, I.S., Gholizadeh, P., et al. (2024). Nature of Occupational Incidents among Roofing Contractors. Buildings, 14(3), 595.</w:t>
      </w:r>
    </w:p>
    <w:p>
      <w:r>
        <w:t>OpenAI (2023). GPT-4 Technical Report. arXiv:2303.08774.</w:t>
      </w:r>
    </w:p>
    <w:p>
      <w:r>
        <w:t>Rafindadi, A.D., Shafiq, N., Othman, I., et al. (2023). Data mining of the essential causes of different types of fatal construction accidents. Heliyon, 9(2), e13389.</w:t>
      </w:r>
    </w:p>
    <w:p>
      <w:r>
        <w:t>Shappell, S.A., Wiegmann, D.A. (2000). The Human Factors Analysis and Classification System–HFACS. Report DOT/FAA/AM-00/7.</w:t>
      </w:r>
    </w:p>
    <w:p>
      <w:r>
        <w:t>Shi, D., Gan, S., Zurada, J., et al. (2025). A multi-model approach to construction site safety. Expert Systems with Applications, 288, 127817.</w:t>
      </w:r>
    </w:p>
    <w:p>
      <w:r>
        <w:t>Togan, V., Mostofi, F., Tokdemir, O.B., et al. (2025). Efficient Management of Safety Documents Using Text-Based Analytics. IEEE Access, 13, 99758–99777.</w:t>
      </w:r>
    </w:p>
    <w:p>
      <w:r>
        <w:t>Wang, X., Wei, J., Schuurmans, D., et al. (2023). Self-Consistency Improves Chain of Thought Reasoning in Language Models. ICLR 2023.</w:t>
      </w:r>
    </w:p>
    <w:p>
      <w:r>
        <w:t>Wei, J., Wang, X., Schuurmans, D., et al. (2022). Chain-of-Thought Prompting Elicits Reasoning in Large Language Models. NeurIPS, 35, 24824–24837.</w:t>
      </w:r>
    </w:p>
    <w:p>
      <w:r>
        <w:t>Xiao, X., Chen, P., Qi, B., et al. (2026). KRAIL: A knowledge-driven framework for human reliability analysis. Reliability Engineering &amp; System Safety, 265, 111585.</w:t>
      </w:r>
    </w:p>
    <w:p>
      <w:r>
        <w:t>Xuecai, X., Gui, F., Shifei, S., et al. (2024). Accident case data-accident causation model driven safety training method. Process Safety and Environmental Protection, 182, 1208–1226.</w:t>
      </w:r>
    </w:p>
    <w:p>
      <w:r>
        <w:t>Yan, Y., Li, B., Lodewijks, G. (2025). UAV Accident Forensics via HFACS-LLM Reasoning. Drones, 9(10), 704.</w:t>
      </w:r>
    </w:p>
    <w:p>
      <w:r>
        <w:t>Yang, J., Park, S. (2025). LLM-Assisted Knowledge Graph Construction for Managing Road Accident Information. IEEE Access, 13, 217846–217865.</w:t>
      </w:r>
    </w:p>
    <w:p>
      <w:r>
        <w:t>Zhang, L., Hou, Y., Ren, F. (2025a). AIR Agent—A GPT-Based Subway Construction Accident Investigation Report Analysis Chatbot. Buildings, 15(4), 527.</w:t>
      </w:r>
    </w:p>
    <w:p>
      <w:r>
        <w:t>Zhang, J., Zhang, W., Wei, Q., et al. (2025b). GRAG-ProSafe QAS. Expert Systems with Applications.</w:t>
      </w:r>
    </w:p>
    <w:p>
      <w:r>
        <w:t>Zhou, D., Schärli, N., Hou, L., et al. (2023). Least-to-Most Prompting Enables Complex Reasoning in Large Language Models. ICLR 2023.</w:t>
      </w:r>
    </w:p>
    <w:p>
      <w:pPr>
        <w:pStyle w:val="Heading1"/>
      </w:pPr>
      <w:r>
        <w:rPr>
          <w:rFonts w:ascii="宋体" w:hAnsi="宋体" w:eastAsia="宋体"/>
          <w:color w:val="000000"/>
          <w:sz w:val="28"/>
        </w:rPr>
        <w:t>附录</w:t>
      </w:r>
      <w:r>
        <w:rPr>
          <w:color w:val="000000"/>
          <w:sz w:val="28"/>
        </w:rPr>
        <w:t xml:space="preserve"> A. </w:t>
      </w:r>
      <w:r>
        <w:rPr>
          <w:rFonts w:ascii="宋体" w:hAnsi="宋体" w:eastAsia="宋体"/>
          <w:color w:val="000000"/>
          <w:sz w:val="28"/>
        </w:rPr>
        <w:t>提示模板</w:t>
      </w:r>
    </w:p>
    <w:p>
      <w:r>
        <w:rPr>
          <w:rFonts w:ascii="宋体" w:hAnsi="宋体" w:eastAsia="宋体"/>
        </w:rPr>
        <w:t>六种提示策略概述如下；逐字提示包含于复现包。</w:t>
      </w:r>
    </w:p>
    <w:p>
      <w:r>
        <w:rPr>
          <w:rFonts w:ascii="宋体" w:hAnsi="宋体" w:eastAsia="宋体"/>
          <w:b/>
        </w:rPr>
        <w:t>A.1 S0 基础零样本</w:t>
      </w:r>
      <w:r>
        <w:t>：</w:t>
      </w:r>
      <w:r>
        <w:t xml:space="preserve">CAICS </w:t>
      </w:r>
      <w:r>
        <w:rPr>
          <w:rFonts w:ascii="宋体" w:hAnsi="宋体" w:eastAsia="宋体"/>
        </w:rPr>
        <w:t>体系（十九类定义）</w:t>
      </w:r>
      <w:r>
        <w:t xml:space="preserve">+ JSON </w:t>
      </w:r>
      <w:r>
        <w:rPr>
          <w:rFonts w:ascii="宋体" w:hAnsi="宋体" w:eastAsia="宋体"/>
        </w:rPr>
        <w:t>输出格式，无推理引导。</w:t>
      </w:r>
    </w:p>
    <w:p>
      <w:r>
        <w:rPr>
          <w:rFonts w:ascii="宋体" w:hAnsi="宋体" w:eastAsia="宋体"/>
          <w:b/>
        </w:rPr>
        <w:t>A.2 S1 基础少样本</w:t>
      </w:r>
      <w:r>
        <w:t>：</w:t>
      </w:r>
      <w:r>
        <w:t xml:space="preserve">S0 </w:t>
      </w:r>
      <w:r>
        <w:rPr>
          <w:rFonts w:ascii="宋体" w:hAnsi="宋体" w:eastAsia="宋体"/>
        </w:rPr>
        <w:t>加三个专家标注示例（文本</w:t>
      </w:r>
      <w:r>
        <w:t xml:space="preserve"> → </w:t>
      </w:r>
      <w:r>
        <w:rPr>
          <w:rFonts w:ascii="宋体" w:hAnsi="宋体" w:eastAsia="宋体"/>
        </w:rPr>
        <w:t>带证据编码），取自银标准。</w:t>
      </w:r>
    </w:p>
    <w:p>
      <w:r>
        <w:rPr>
          <w:rFonts w:ascii="宋体" w:hAnsi="宋体" w:eastAsia="宋体"/>
          <w:b/>
        </w:rPr>
        <w:t>A.3 S2 Auto-CoT</w:t>
      </w:r>
      <w:r>
        <w:t>：</w:t>
      </w:r>
      <w:r>
        <w:t xml:space="preserve">S0 </w:t>
      </w:r>
      <w:r>
        <w:rPr>
          <w:rFonts w:ascii="宋体" w:hAnsi="宋体" w:eastAsia="宋体"/>
        </w:rPr>
        <w:t>加</w:t>
      </w:r>
      <w:r>
        <w:t>"</w:t>
      </w:r>
      <w:r>
        <w:rPr>
          <w:rFonts w:ascii="宋体" w:hAnsi="宋体" w:eastAsia="宋体"/>
        </w:rPr>
        <w:t>按</w:t>
      </w:r>
      <w:r>
        <w:t xml:space="preserve"> M→F→T→H→C </w:t>
      </w:r>
      <w:r>
        <w:rPr>
          <w:rFonts w:ascii="宋体" w:hAnsi="宋体" w:eastAsia="宋体"/>
        </w:rPr>
        <w:t>因果链先自组织推理再编码</w:t>
      </w:r>
      <w:r>
        <w:t>"</w:t>
      </w:r>
      <w:r>
        <w:rPr>
          <w:rFonts w:ascii="宋体" w:hAnsi="宋体" w:eastAsia="宋体"/>
        </w:rPr>
        <w:t>指令。</w:t>
      </w:r>
    </w:p>
    <w:p>
      <w:r>
        <w:rPr>
          <w:rFonts w:ascii="宋体" w:hAnsi="宋体" w:eastAsia="宋体"/>
          <w:b/>
        </w:rPr>
        <w:t>A.4 S3 计划与求解</w:t>
      </w:r>
      <w:r>
        <w:t>：</w:t>
      </w:r>
      <w:r>
        <w:t xml:space="preserve">S0 </w:t>
      </w:r>
      <w:r>
        <w:rPr>
          <w:rFonts w:ascii="宋体" w:hAnsi="宋体" w:eastAsia="宋体"/>
        </w:rPr>
        <w:t>加</w:t>
      </w:r>
      <w:r>
        <w:t>"</w:t>
      </w:r>
      <w:r>
        <w:rPr>
          <w:rFonts w:ascii="宋体" w:hAnsi="宋体" w:eastAsia="宋体"/>
        </w:rPr>
        <w:t>先制定分析计划再执行</w:t>
      </w:r>
      <w:r>
        <w:t>"</w:t>
      </w:r>
      <w:r>
        <w:rPr>
          <w:rFonts w:ascii="宋体" w:hAnsi="宋体" w:eastAsia="宋体"/>
        </w:rPr>
        <w:t>指令。</w:t>
      </w:r>
    </w:p>
    <w:p>
      <w:r>
        <w:rPr>
          <w:rFonts w:ascii="宋体" w:hAnsi="宋体" w:eastAsia="宋体"/>
          <w:b/>
        </w:rPr>
        <w:t>A.5 S4 CAICS-CoT</w:t>
      </w:r>
      <w:r>
        <w:t>：共测试两版。</w:t>
      </w:r>
      <w:r>
        <w:t xml:space="preserve">v1 </w:t>
      </w:r>
      <w:r>
        <w:rPr>
          <w:rFonts w:ascii="宋体" w:hAnsi="宋体" w:eastAsia="宋体"/>
        </w:rPr>
        <w:t>将每个编码表述为疑问式条件检查（</w:t>
      </w:r>
      <w:r>
        <w:t>"</w:t>
      </w:r>
      <w:r>
        <w:rPr>
          <w:rFonts w:ascii="宋体" w:hAnsi="宋体" w:eastAsia="宋体"/>
        </w:rPr>
        <w:t>文本提到</w:t>
      </w:r>
      <w:r>
        <w:t>……</w:t>
      </w:r>
      <w:r>
        <w:rPr>
          <w:rFonts w:ascii="宋体" w:hAnsi="宋体" w:eastAsia="宋体"/>
        </w:rPr>
        <w:t>吗？</w:t>
      </w:r>
      <w:r>
        <w:t>"</w:t>
      </w:r>
      <w:r>
        <w:t>）加保守指令。</w:t>
      </w:r>
      <w:r>
        <w:t xml:space="preserve">v2 </w:t>
      </w:r>
      <w:r>
        <w:rPr>
          <w:rFonts w:ascii="宋体" w:hAnsi="宋体" w:eastAsia="宋体"/>
        </w:rPr>
        <w:t>以两步判断（显性匹配</w:t>
      </w:r>
      <w:r>
        <w:t xml:space="preserve"> + </w:t>
      </w:r>
      <w:r>
        <w:rPr>
          <w:rFonts w:ascii="宋体" w:hAnsi="宋体" w:eastAsia="宋体"/>
        </w:rPr>
        <w:t>授权推断，含从亡人结果推断监管缺失等先验规则）取代检查，并加全覆盖偏好。</w:t>
      </w:r>
    </w:p>
    <w:p>
      <w:r>
        <w:rPr>
          <w:rFonts w:ascii="宋体" w:hAnsi="宋体" w:eastAsia="宋体"/>
          <w:b/>
        </w:rPr>
        <w:t>A.6 S5 CAICS-CoT+</w:t>
      </w:r>
      <w:r>
        <w:t>：五次独立逐层</w:t>
      </w:r>
      <w:r>
        <w:t xml:space="preserve"> API </w:t>
      </w:r>
      <w:r>
        <w:rPr>
          <w:rFonts w:ascii="宋体" w:hAnsi="宋体" w:eastAsia="宋体"/>
        </w:rPr>
        <w:t>调用（层间摘要注入），加最终汇总调用。</w:t>
      </w:r>
    </w:p>
    <w:p>
      <w:r>
        <w:rPr>
          <w:i/>
        </w:rPr>
        <w:t>V2 修订说明（供作者与导师查阅，投稿时删除本段）：本版依据综合评阅意见完成以下文字级修订——①主线确定为"探索性数据工程系统与数据资源"，删除"首次/推翻/证明模型依赖/因果机制/专家级/替代人工/全部编码有证据"等结论；②致因标注重构为 explicit/inferred/prior 三层证据分级（对应数据库 evidence_quality 字段），全文统一分层统计口径；③银标准构建方式如实描述并标注独立性边界；④开发集与测试集重叠风险在 4.1 显式声明；⑤2×2 消融降级为"措辞敏感性观察+实用补救"，删除机制性归因与"排除替代解释"表述；⑥人机一致性限定为"一名标注者、六项字段、协议一致性"，κ/ICC/匹配率分列不再统称 Kappa；⑦全部计数对账闭合（类型 2,617+未标注6、等级 2,622+未标注1、表2 补非空分母列）；⑧M1 数字全文统一为 0.847/0.800；⑨表引用勘误（4.5 节表 7→表 8）、表 6 脚注与数值矛盾修正；⑩数据治理声明扩充（逐源许可/撤回机制/创伤影像访问控制）；⑪局限性扩为 8 项分级；⑫新增 3.2 节"数据来源与语料构建"（含 4 个子节与表 1），端到端呈现采集、清洗、筛选与整合流程，原 3.2–3.5 节顺延为 3.3–3.6 节、表 1–9 顺延为表 2–10，并修正阶段 2 的两处表述（文本类型实为六类而非三类；895 条数字化记录经独立的文献切分路径入库，并非在该阶段被删除）及 5.3 节(6)枚举字段非空率上限（52.3%→83.9%）。六张插图已由 `scripts/gen_paper_figures.py` 生成并插入（图 1–6），图中分布数字随主库现读；表 2（5 层 19 类操作定义）已按生产提示词补全，定义与落库类名逐条核对一致，表注给出实测的各层推断占比。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