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17,364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17,364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t>The three tiers carry different epistemic commitments, and the database stores and reports them separately:</w:t>
      </w:r>
    </w:p>
    <w:p>
      <w:pPr>
        <w:pStyle w:val="ListBullet"/>
      </w:pPr>
      <w:r>
        <w:rPr>
          <w:b/>
        </w:rPr>
        <w:t>explicit</w:t>
      </w:r>
      <w:r>
        <w:t>: the source text contains a passage that directly supports the code; $e_{ij}$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15,809 annotations (91.0%) are explicit, 1,131 (6.5%) are inferred, and 424 (2.4%)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t>#### 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t>#### 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t>#### 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t>#### 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p>
      <w:r>
        <w:t>[表2占位：待手绘 — 5 层 19 类操作定义表]</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r>
        <w:rPr>
          <w:b/>
        </w:rPr>
        <w:t>Figure 1.</w:t>
      </w:r>
      <w:r>
        <w:rPr>
          <w:b/>
        </w:rPr>
        <w:t xml:space="preserve"> CAIEMS system architecture.</w:t>
      </w:r>
    </w:p>
    <w:p>
      <w:pPr>
        <w:ind w:left="432"/>
      </w:pPr>
      <w:r>
        <w:rPr>
          <w:i/>
          <w:color w:val="7F8C8D"/>
        </w:rPr>
        <w:t>▢ [图1占位：待手绘 — 系统架构图]</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b/>
        </w:rPr>
        <w:t>Figure 2.</w:t>
      </w:r>
      <w:r>
        <w:rPr>
          <w:b/>
        </w:rPr>
        <w:t xml:space="preserve"> CAICS five-layer causal structure with an example evidence chain.</w:t>
      </w:r>
    </w:p>
    <w:p>
      <w:pPr>
        <w:ind w:left="432"/>
      </w:pPr>
      <w:r>
        <w:rPr>
          <w:i/>
          <w:color w:val="7F8C8D"/>
        </w:rPr>
        <w:t>▢ [图2占位：待手绘 — CAICS 五层结构与示例证据链]</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17,364 total (explicit 15,809 / inferred 1,131 / prior 424)</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b/>
        </w:rPr>
        <w:t>Figure 3.</w:t>
      </w:r>
      <w:r>
        <w:rPr>
          <w:b/>
        </w:rPr>
        <w:t xml:space="preserve"> Distribution of causal annotations across the nineteen CAICS categories.</w:t>
      </w:r>
    </w:p>
    <w:p>
      <w:pPr>
        <w:ind w:left="432"/>
      </w:pPr>
      <w:r>
        <w:rPr>
          <w:i/>
          <w:color w:val="7F8C8D"/>
        </w:rPr>
        <w:t>▢ [图3占位：待手绘 — CAICS 编码分布条形图]</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17,364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r>
        <w:rPr>
          <w:b/>
        </w:rPr>
        <w:t>Figure 4.</w:t>
      </w:r>
      <w:r>
        <w:rPr>
          <w:b/>
        </w:rPr>
        <w:t xml:space="preserve"> Dataset hierarchy and the three evaluation samples.</w:t>
      </w:r>
    </w:p>
    <w:p>
      <w:pPr>
        <w:ind w:left="432"/>
      </w:pPr>
      <w:r>
        <w:rPr>
          <w:i/>
          <w:color w:val="7F8C8D"/>
        </w:rPr>
        <w:t>▢ [图4占位：待手绘 — 样本关系流程图]</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r>
        <w:t>#### 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t>#### 4.4.2 Few-Shot outperforms domain CoT on this model–task pair</w:t>
      </w:r>
    </w:p>
    <w:p>
      <w: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t>#### 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b/>
        </w:rPr>
        <w:t>Figure 5.</w:t>
      </w:r>
      <w:r>
        <w:rPr>
          <w:b/>
        </w:rPr>
        <w:t xml:space="preserve"> The Lexical Gatekeeping observation and its remedy.</w:t>
      </w:r>
    </w:p>
    <w:p>
      <w:pPr>
        <w:ind w:left="432"/>
      </w:pPr>
      <w:r>
        <w:rPr>
          <w:i/>
          <w:color w:val="7F8C8D"/>
        </w:rPr>
        <w:t>▢ [图5占位：待手绘 — 门控效应观察与补救双面板图]</w:t>
      </w:r>
    </w:p>
    <w:p>
      <w:r>
        <w:t>#### 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b/>
        </w:rPr>
        <w:t>Figure 6.</w:t>
      </w:r>
      <w:r>
        <w:rPr>
          <w:b/>
        </w:rPr>
        <w:t xml:space="preserve"> Agreement between the LLM and one annotator on six fields.</w:t>
      </w:r>
    </w:p>
    <w:p>
      <w:pPr>
        <w:ind w:left="432"/>
      </w:pPr>
      <w:r>
        <w:rPr>
          <w:i/>
          <w:color w:val="7F8C8D"/>
        </w:rPr>
        <w:t>▢ [图6占位：待手绘 — 一致性森林图]</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17,364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节(6)枚举字段非空率上限（52.3%→83.9%）。图片为占位符，待作者手绘后替换。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