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 An Exploratory LLM-Driven Pipeline for Structuring Construction Accident Narratives into a Queryable Database</w:t>
      </w:r>
    </w:p>
    <w:p>
      <w:pPr>
        <w:pStyle w:val="Heading1"/>
      </w:pPr>
      <w:r>
        <w:rPr>
          <w:color w:val="000000"/>
          <w:sz w:val="28"/>
        </w:rPr>
        <w:t>Abstract</w:t>
      </w:r>
    </w:p>
    <w:p>
      <w: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b/>
        </w:rPr>
        <w:t>Keywords</w:t>
      </w:r>
      <w:r>
        <w:t>: Large language model; Construction safety; Information extraction; Prompt engineering; Accident database; Causal annotation; Inter-annotator agreement</w:t>
      </w:r>
    </w:p>
    <w:p>
      <w:pPr>
        <w:pStyle w:val="Heading1"/>
      </w:pPr>
      <w:r>
        <w:rPr>
          <w:color w:val="000000"/>
          <w:sz w:val="28"/>
        </w:rPr>
        <w:t>1. Introduction</w:t>
      </w:r>
    </w:p>
    <w:p>
      <w: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t>Existing computational approaches to this conversion problem fall into three groups. Supervised classifiers such as BERT (Devlin et al., 2019)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pPr>
        <w:pStyle w:val="Heading1"/>
      </w:pPr>
      <w:r>
        <w:rPr>
          <w:color w:val="000000"/>
          <w:sz w:val="28"/>
        </w:rPr>
        <w:t>2. Related Work</w:t>
      </w:r>
    </w:p>
    <w:p>
      <w:pPr>
        <w:pStyle w:val="Heading2"/>
      </w:pPr>
      <w:r>
        <w:rPr>
          <w:color w:val="000000"/>
        </w:rPr>
        <w:t>2.1 Text-based analytics for construction accident documents</w:t>
      </w:r>
    </w:p>
    <w:p>
      <w: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pPr>
        <w:pStyle w:val="Heading2"/>
      </w:pPr>
      <w:r>
        <w:rPr>
          <w:color w:val="000000"/>
        </w:rPr>
        <w:t>2.2 LLMs for accident information extraction</w:t>
      </w:r>
    </w:p>
    <w:p>
      <w: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pPr>
        <w:pStyle w:val="Heading2"/>
      </w:pPr>
      <w:r>
        <w:rPr>
          <w:color w:val="000000"/>
        </w:rPr>
        <w:t>2.3 HFACS-based causal classification with LLMs</w:t>
      </w:r>
    </w:p>
    <w:p>
      <w: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pPr>
        <w:pStyle w:val="Heading2"/>
      </w:pPr>
      <w:r>
        <w:rPr>
          <w:color w:val="000000"/>
        </w:rPr>
        <w:t>2.4 Knowledge graphs and accident databases</w:t>
      </w:r>
    </w:p>
    <w:p>
      <w: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pPr>
        <w:pStyle w:val="Heading1"/>
      </w:pPr>
      <w:r>
        <w:rPr>
          <w:color w:val="000000"/>
          <w:sz w:val="28"/>
        </w:rPr>
        <w:t>3. System</w:t>
      </w:r>
    </w:p>
    <w:p>
      <w:pPr>
        <w:pStyle w:val="Heading2"/>
      </w:pPr>
      <w:r>
        <w:rPr>
          <w:color w:val="000000"/>
        </w:rPr>
        <w:t>3.1 Problem formulation and the evidence-tier annotation scheme</w:t>
      </w:r>
    </w:p>
    <w:p>
      <w:r>
        <w:t xml:space="preserve">Let </w:t>
      </w:r>
      <w:r>
        <w:rPr>
          <w:i/>
        </w:rPr>
        <w:t>T = {t</w:t>
      </w:r>
      <w:r>
        <w:rPr>
          <w:i/>
          <w:vertAlign w:val="subscript"/>
        </w:rPr>
        <w:t>1</w:t>
      </w:r>
      <w:r>
        <w:rPr>
          <w:i/>
        </w:rPr>
        <w:t>, t</w:t>
      </w:r>
      <w:r>
        <w:rPr>
          <w:i/>
          <w:vertAlign w:val="subscript"/>
        </w:rPr>
        <w:t>2</w:t>
      </w:r>
      <w:r>
        <w:rPr>
          <w:i/>
        </w:rPr>
        <w:t>, …, t</w:t>
      </w:r>
      <w:r>
        <w:rPr>
          <w:i/>
          <w:vertAlign w:val="subscript"/>
        </w:rPr>
        <w:t>N</w:t>
      </w:r>
      <w:r>
        <w:rPr>
          <w:i/>
        </w:rPr>
        <w:t>}</w:t>
      </w:r>
      <w:r>
        <w:t xml:space="preserve"> denote a corpus of unstructured accident narratives (median 517 characters in our corpus). The pipeline transforms each </w:t>
      </w:r>
      <w:r>
        <w:rPr>
          <w:i/>
        </w:rPr>
        <w:t>t</w:t>
      </w:r>
      <w:r>
        <w:rPr>
          <w:i/>
          <w:vertAlign w:val="subscript"/>
        </w:rPr>
        <w:t>i</w:t>
      </w:r>
      <w:r>
        <w:t xml:space="preserve"> into a structured record </w:t>
      </w:r>
      <w:r>
        <w:rPr>
          <w:i/>
        </w:rPr>
        <w:t>r</w:t>
      </w:r>
      <w:r>
        <w:rPr>
          <w:i/>
          <w:vertAlign w:val="subscript"/>
        </w:rPr>
        <w:t>i</w:t>
      </w:r>
      <w:r>
        <w:rPr>
          <w:i/>
        </w:rPr>
        <w:t xml:space="preserve"> = (b</w:t>
      </w:r>
      <w:r>
        <w:rPr>
          <w:i/>
          <w:vertAlign w:val="subscript"/>
        </w:rPr>
        <w:t>i</w:t>
      </w:r>
      <w:r>
        <w:rPr>
          <w:i/>
        </w:rPr>
        <w:t>, c</w:t>
      </w:r>
      <w:r>
        <w:rPr>
          <w:i/>
          <w:vertAlign w:val="subscript"/>
        </w:rPr>
        <w:t>i</w:t>
      </w:r>
      <w:r>
        <w:rPr>
          <w:i/>
        </w:rPr>
        <w:t>)</w:t>
      </w:r>
      <w:r>
        <w:t xml:space="preserve">: a basic information vector </w:t>
      </w:r>
      <w:r>
        <w:rPr>
          <w:i/>
        </w:rPr>
        <w:t>b</w:t>
      </w:r>
      <w:r>
        <w:rPr>
          <w:i/>
          <w:vertAlign w:val="subscript"/>
        </w:rPr>
        <w:t>i</w:t>
      </w:r>
      <w:r>
        <w:t xml:space="preserve"> covering 33 pre-defined fields, and a causal annotation set </w:t>
      </w:r>
      <w:r>
        <w:rPr>
          <w:i/>
        </w:rPr>
        <w:t>c</w:t>
      </w:r>
      <w:r>
        <w:rPr>
          <w:i/>
          <w:vertAlign w:val="subscript"/>
        </w:rPr>
        <w:t>i</w:t>
      </w:r>
      <w:r>
        <w:rPr>
          <w:i/>
        </w:rPr>
        <w:t xml:space="preserve"> = {(x</w:t>
      </w:r>
      <w:r>
        <w:rPr>
          <w:i/>
          <w:vertAlign w:val="subscript"/>
        </w:rPr>
        <w:t>ij</w:t>
      </w:r>
      <w:r>
        <w:rPr>
          <w:i/>
        </w:rPr>
        <w:t>, e</w:t>
      </w:r>
      <w:r>
        <w:rPr>
          <w:i/>
          <w:vertAlign w:val="subscript"/>
        </w:rPr>
        <w:t>ij</w:t>
      </w:r>
      <w:r>
        <w:rPr>
          <w:i/>
        </w:rPr>
        <w:t>, ι</w:t>
      </w:r>
      <w:r>
        <w:rPr>
          <w:i/>
          <w:vertAlign w:val="subscript"/>
        </w:rPr>
        <w:t>ij</w:t>
      </w:r>
      <w:r>
        <w:rPr>
          <w:i/>
        </w:rPr>
        <w:t>, q</w:t>
      </w:r>
      <w:r>
        <w:rPr>
          <w:i/>
          <w:vertAlign w:val="subscript"/>
        </w:rPr>
        <w:t>ij</w:t>
      </w:r>
      <w:r>
        <w:rPr>
          <w:i/>
        </w:rPr>
        <w:t>)}</w:t>
      </w:r>
      <w:r>
        <w:t xml:space="preserve">, where </w:t>
      </w:r>
      <w:r>
        <w:rPr>
          <w:i/>
        </w:rPr>
        <w:t>x</w:t>
      </w:r>
      <w:r>
        <w:rPr>
          <w:i/>
          <w:vertAlign w:val="subscript"/>
        </w:rPr>
        <w:t>ij</w:t>
      </w:r>
      <w:r>
        <w:t xml:space="preserve"> is a causal code from the CAICS scheme, </w:t>
      </w:r>
      <w:r>
        <w:rPr>
          <w:i/>
        </w:rPr>
        <w:t>e</w:t>
      </w:r>
      <w:r>
        <w:rPr>
          <w:i/>
          <w:vertAlign w:val="subscript"/>
        </w:rPr>
        <w:t>ij</w:t>
      </w:r>
      <w:r>
        <w:t xml:space="preserve"> is the supporting text, </w:t>
      </w:r>
      <w:r>
        <w:rPr>
          <w:i/>
        </w:rPr>
        <w:t>ι</w:t>
      </w:r>
      <w:r>
        <w:rPr>
          <w:i/>
          <w:vertAlign w:val="subscript"/>
        </w:rPr>
        <w:t>ij</w:t>
      </w:r>
      <w:r>
        <w:t xml:space="preserve"> is the inference chain, and </w:t>
      </w:r>
      <w:r>
        <w:rPr>
          <w:i/>
        </w:rPr>
        <w:t>q</w:t>
      </w:r>
      <w:r>
        <w:rPr>
          <w:i/>
          <w:vertAlign w:val="subscript"/>
        </w:rPr>
        <w:t>ij</w:t>
      </w:r>
      <w:r>
        <w:rPr>
          <w:i/>
        </w:rPr>
        <w:t xml:space="preserve"> ∈ {explicit, inferred, prior}</w:t>
      </w:r>
      <w:r>
        <w:t xml:space="preserve"> is the evidence tier.</w:t>
      </w:r>
    </w:p>
    <w:p>
      <w:r>
        <w:t>The three tiers carry different epistemic commitments, and the database stores and reports them separately:</w:t>
      </w:r>
    </w:p>
    <w:p>
      <w:pPr>
        <w:pStyle w:val="ListBullet"/>
      </w:pPr>
      <w:r>
        <w:rPr>
          <w:b/>
        </w:rPr>
        <w:t>explicit</w:t>
      </w:r>
      <w:r>
        <w:t xml:space="preserve">: the source text contains a passage that directly supports the code; </w:t>
      </w:r>
      <w:r>
        <w:rPr>
          <w:i/>
        </w:rPr>
        <w:t>e</w:t>
      </w:r>
      <w:r>
        <w:rPr>
          <w:i/>
          <w:vertAlign w:val="subscript"/>
        </w:rPr>
        <w:t>ij</w:t>
      </w:r>
      <w:r>
        <w:t xml:space="preserve"> is a verbatim quotation. Only explicit codes are presented as evidence-backed in the Web interface.</w:t>
      </w:r>
    </w:p>
    <w:p>
      <w:pPr>
        <w:pStyle w:val="ListBullet"/>
      </w:pPr>
      <w:r>
        <w:rPr>
          <w:b/>
        </w:rPr>
        <w:t>inferred</w:t>
      </w:r>
      <w:r>
        <w:t>: the code is induced from the narrative by semantic paraphrase (e.g., a text stating "safety management inadequate" supports M1 without quoting any fixed keyword). The inference chain is recorded.</w:t>
      </w:r>
    </w:p>
    <w:p>
      <w:pPr>
        <w:pStyle w:val="ListBullet"/>
      </w:pPr>
      <w:r>
        <w:rPr>
          <w:b/>
        </w:rPr>
        <w:t>prior</w:t>
      </w:r>
      <w:r>
        <w:t>: the code follows from domain assumptions authorized in the prompt (e.g., a fatal accident is taken to imply deficient supervision even when the text is silent). These codes are displayed with a prior label and are excluded from evidence-backed statistics.</w:t>
      </w:r>
    </w:p>
    <w:p>
      <w: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pPr>
        <w:pStyle w:val="Heading2"/>
      </w:pPr>
      <w:r>
        <w:rPr>
          <w:color w:val="000000"/>
        </w:rPr>
        <w:t>3.2 Data sources and corpus construction</w:t>
      </w:r>
    </w:p>
    <w:p>
      <w: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pPr>
        <w:pStyle w:val="Heading3"/>
      </w:pPr>
      <w:r>
        <w:rPr>
          <w:color w:val="000000"/>
        </w:rPr>
        <w:t>3.2.1 A dual-track corpus</w:t>
      </w:r>
    </w:p>
    <w:p>
      <w:r>
        <w:t xml:space="preserve">The corpus combines two structurally different acquisition tracks. The </w:t>
      </w:r>
      <w:r>
        <w:rPr>
          <w:b/>
        </w:rPr>
        <w:t>web-collection track</w:t>
      </w:r>
      <w:r>
        <w:t xml:space="preserve"> contributes 1,728 records (65.9%) retrieved by purpose-built crawlers from public portals. The </w:t>
      </w:r>
      <w:r>
        <w:rPr>
          <w:b/>
        </w:rPr>
        <w:t>document-digitization track</w:t>
      </w:r>
      <w:r>
        <w:t xml:space="preserve"> contributes 895 records (34.1%) recovered from published case compilations distributed as PDF documents. Table 1 reports the composition of both tracks.</w:t>
      </w:r>
    </w:p>
    <w:p>
      <w:r>
        <w:rPr>
          <w:b/>
        </w:rPr>
        <w:t>Table 1.</w:t>
      </w:r>
      <w:r>
        <w:t xml:space="preserve"> Corpus composition by source track.</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Track</w:t>
            </w:r>
          </w:p>
        </w:tc>
        <w:tc>
          <w:tcPr>
            <w:tcW w:type="dxa" w:w="1728"/>
          </w:tcPr>
          <w:p>
            <w:r>
              <w:rPr>
                <w:b/>
              </w:rPr>
              <w:t>Source</w:t>
            </w:r>
          </w:p>
        </w:tc>
        <w:tc>
          <w:tcPr>
            <w:tcW w:type="dxa" w:w="1728"/>
          </w:tcPr>
          <w:p>
            <w:r>
              <w:rPr>
                <w:b/>
              </w:rPr>
              <w:t>Records</w:t>
            </w:r>
          </w:p>
        </w:tc>
        <w:tc>
          <w:tcPr>
            <w:tcW w:type="dxa" w:w="1728"/>
          </w:tcPr>
          <w:p>
            <w:r>
              <w:rPr>
                <w:b/>
              </w:rPr>
              <w:t>Share</w:t>
            </w:r>
          </w:p>
        </w:tc>
        <w:tc>
          <w:tcPr>
            <w:tcW w:type="dxa" w:w="1728"/>
          </w:tcPr>
          <w:p>
            <w:r>
              <w:rPr>
                <w:b/>
              </w:rPr>
              <w:t>Accident period</w:t>
            </w:r>
          </w:p>
        </w:tc>
      </w:tr>
      <w:tr>
        <w:tc>
          <w:tcPr>
            <w:tcW w:type="dxa" w:w="1728"/>
          </w:tcPr>
          <w:p>
            <w:r>
              <w:t>Web collection</w:t>
            </w:r>
          </w:p>
        </w:tc>
        <w:tc>
          <w:tcPr>
            <w:tcW w:type="dxa" w:w="1728"/>
          </w:tcPr>
          <w:p>
            <w:r>
              <w:t>Safehoo (safehoo.com), safety news portal</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 (esafety.cn), safety industry portal</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Provincial emergency-management bureaus (12 contributing sources)</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Ministry of Emergency Management (mem.gov.cn)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*Subtotal*</w:t>
            </w:r>
          </w:p>
        </w:tc>
        <w:tc>
          <w:tcPr>
            <w:tcW w:type="dxa" w:w="1728"/>
          </w:tcPr>
          <w:p>
            <w:r>
              <w:t>*1,728*</w:t>
            </w:r>
          </w:p>
        </w:tc>
        <w:tc>
          <w:tcPr>
            <w:tcW w:type="dxa" w:w="1728"/>
          </w:tcPr>
          <w:p>
            <w:r>
              <w:t>*65.9%*</w:t>
            </w:r>
          </w:p>
        </w:tc>
        <w:tc>
          <w:tcPr>
            <w:tcW w:type="dxa" w:w="1728"/>
          </w:tcPr>
          <w:p>
            <w:r/>
          </w:p>
        </w:tc>
      </w:tr>
      <w:tr>
        <w:tc>
          <w:tcPr>
            <w:tcW w:type="dxa" w:w="1728"/>
          </w:tcPr>
          <w:p>
            <w:r>
              <w:t>Document digitization</w:t>
            </w:r>
          </w:p>
        </w:tc>
        <w:tc>
          <w:tcPr>
            <w:tcW w:type="dxa" w:w="1728"/>
          </w:tcPr>
          <w:p>
            <w:r>
              <w:t>Fan Xiren, *800 Cases of Major Fatal Accidents in Building Construction*</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MOHURD accident case compilations (3 volumes)</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*Subtotal*</w:t>
            </w:r>
          </w:p>
        </w:tc>
        <w:tc>
          <w:tcPr>
            <w:tcW w:type="dxa" w:w="1728"/>
          </w:tcPr>
          <w:p>
            <w:r>
              <w:t>*895*</w:t>
            </w:r>
          </w:p>
        </w:tc>
        <w:tc>
          <w:tcPr>
            <w:tcW w:type="dxa" w:w="1728"/>
          </w:tcPr>
          <w:p>
            <w:r>
              <w:t>*34.1%*</w:t>
            </w:r>
          </w:p>
        </w:tc>
        <w:tc>
          <w:tcPr>
            <w:tcW w:type="dxa" w:w="1728"/>
          </w:tcPr>
          <w:p>
            <w:r/>
          </w:p>
        </w:tc>
      </w:tr>
      <w:tr>
        <w:tc>
          <w:tcPr>
            <w:tcW w:type="dxa" w:w="1728"/>
          </w:tcPr>
          <w:p>
            <w:r>
              <w:t>Total</w:t>
            </w:r>
          </w:p>
        </w:tc>
        <w:tc>
          <w:tcPr>
            <w:tcW w:type="dxa" w:w="1728"/>
          </w:tcPr>
          <w:p>
            <w:r/>
          </w:p>
        </w:tc>
        <w:tc>
          <w:tcPr>
            <w:tcW w:type="dxa" w:w="1728"/>
          </w:tcPr>
          <w:p>
            <w:r>
              <w:t>2,623</w:t>
            </w:r>
          </w:p>
        </w:tc>
        <w:tc>
          <w:tcPr>
            <w:tcW w:type="dxa" w:w="1728"/>
          </w:tcPr>
          <w:p>
            <w:r>
              <w:t>100%</w:t>
            </w:r>
          </w:p>
        </w:tc>
        <w:tc>
          <w:tcPr>
            <w:tcW w:type="dxa" w:w="1728"/>
          </w:tcPr>
          <w:p>
            <w:r/>
          </w:p>
        </w:tc>
      </w:tr>
    </w:tbl>
    <w:p>
      <w: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w:t>
      </w:r>
    </w:p>
    <w:p>
      <w:r>
        <w:t xml:space="preserve">The corpus spans 1978 to 2026 with a pronounced gap. Of the 2,623 records, 698 (26.6%) fall in 1978–1990, 1,895 (72.2%) fall in 2005–2026, and 30 (1.1%) carry no resolvable date. </w:t>
      </w:r>
      <w:r>
        <w:rPr>
          <w:b/>
        </w:rPr>
        <w:t>The period 1991–2004 is absent entirely.</w:t>
      </w:r>
      <w:r>
        <w:t xml:space="preserve">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pPr>
        <w:pStyle w:val="Heading3"/>
      </w:pPr>
      <w:r>
        <w:rPr>
          <w:color w:val="000000"/>
        </w:rPr>
        <w:t>3.2.2 Collection schemes</w:t>
      </w:r>
    </w:p>
    <w:p>
      <w:r>
        <w:rPr>
          <w:b/>
        </w:rPr>
        <w:t>Web-collection track.</w:t>
      </w:r>
      <w:r>
        <w:t xml:space="preserve"> Twenty-five collectors acquire the web portion. Each implements a common interface and is registered in a central registry; the implementations fall into four families — one search-engine aggregator that issues predefined queries and admits results only from a domain whitelist; nineteen provincial emergency-management bureau collectors that parse HTML listing and detail pages and, in most cases, download and extract attached PDF investigation reports; two national-level collectors (Ministry of Emergency Management and MOHURD); and three auxiliary importers covering open-government datasets, a safety-news special-topic archive, and two published academic accident datasets.</w:t>
      </w:r>
    </w:p>
    <w:p>
      <w: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15 news domains plus any `gov.cn` host, which keeps search-derived material inside the same source population as the targeted collectors.</w:t>
      </w:r>
    </w:p>
    <w:p>
      <w:r>
        <w:t xml:space="preserve">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t>
      </w:r>
      <w:r>
        <w:rPr>
          <w:b/>
        </w:rPr>
        <w:t>We did not implement proxy rotation, user-agent rotation, JavaScript rendering, or CAPTCHA handling, and collection is entirely serial rather than distributed.</w:t>
      </w:r>
      <w:r>
        <w:t xml:space="preserve">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b/>
        </w:rPr>
        <w:t>Document-digitization track.</w:t>
      </w:r>
      <w:r>
        <w:t xml:space="preserve">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pPr>
        <w:pStyle w:val="Heading3"/>
      </w:pPr>
      <w:r>
        <w:rPr>
          <w:color w:val="000000"/>
        </w:rPr>
        <w:t>3.2.3 Cleaning, normalization, and rule-based pre-extraction</w:t>
      </w:r>
    </w:p>
    <w:p>
      <w:r>
        <w:t>Cleaning and the bulk of field extraction are performed by deterministic rules rather than by model calls. Three components operate in sequence on every candidate record.</w:t>
      </w:r>
    </w:p>
    <w:p>
      <w: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pPr>
        <w:pStyle w:val="Heading3"/>
      </w:pPr>
      <w:r>
        <w:rPr>
          <w:color w:val="000000"/>
        </w:rPr>
        <w:t>3.2.4 Relevance filtering and deduplication</w:t>
      </w:r>
    </w:p>
    <w:p>
      <w:r>
        <w:rPr>
          <w:b/>
        </w:rPr>
        <w:t>Relevance filtering.</w:t>
      </w:r>
      <w:r>
        <w:t xml:space="preserve">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t xml:space="preserve">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w:t>
      </w:r>
      <w:r>
        <w:rPr>
          <w:i/>
        </w:rPr>
        <w:t>high</w:t>
      </w:r>
      <w:r>
        <w:t xml:space="preserve"> or </w:t>
      </w:r>
      <w:r>
        <w:rPr>
          <w:i/>
        </w:rPr>
        <w:t>low</w:t>
      </w:r>
      <w:r>
        <w:t>; only high-confidence judgments are final.</w:t>
      </w:r>
    </w:p>
    <w:p>
      <w:r>
        <w:rPr>
          <w:b/>
        </w:rPr>
        <w:t>Deduplication.</w:t>
      </w:r>
      <w:r>
        <w:t xml:space="preserve">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b/>
        </w:rPr>
        <w:t>Integration.</w:t>
      </w:r>
      <w:r>
        <w:t xml:space="preserve">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pPr>
        <w:pStyle w:val="Heading2"/>
      </w:pPr>
      <w:r>
        <w:rPr>
          <w:color w:val="000000"/>
        </w:rPr>
        <w:t>3.3 CAICS: an operational coding scheme</w:t>
      </w:r>
    </w:p>
    <w:p>
      <w: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b/>
        </w:rPr>
        <w:t>Table 2.</w:t>
      </w:r>
      <w:r>
        <w:t xml:space="preserve"> The CAICS coding scheme: operational definitions.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Layer</w:t>
            </w:r>
          </w:p>
        </w:tc>
        <w:tc>
          <w:tcPr>
            <w:tcW w:type="dxa" w:w="1728"/>
          </w:tcPr>
          <w:p>
            <w:r>
              <w:rPr>
                <w:b/>
              </w:rPr>
              <w:t>Code</w:t>
            </w:r>
          </w:p>
        </w:tc>
        <w:tc>
          <w:tcPr>
            <w:tcW w:type="dxa" w:w="1728"/>
          </w:tcPr>
          <w:p>
            <w:r>
              <w:rPr>
                <w:b/>
              </w:rPr>
              <w:t>Category</w:t>
            </w:r>
          </w:p>
        </w:tc>
        <w:tc>
          <w:tcPr>
            <w:tcW w:type="dxa" w:w="1728"/>
          </w:tcPr>
          <w:p>
            <w:r>
              <w:rPr>
                <w:b/>
              </w:rPr>
              <w:t>Operational definition</w:t>
            </w:r>
          </w:p>
        </w:tc>
        <w:tc>
          <w:tcPr>
            <w:tcW w:type="dxa" w:w="1728"/>
          </w:tcPr>
          <w:p>
            <w:r>
              <w:rPr>
                <w:b/>
              </w:rPr>
              <w:t>Typical evidence keywords</w:t>
            </w:r>
          </w:p>
        </w:tc>
      </w:tr>
      <w:tr>
        <w:tc>
          <w:tcPr>
            <w:tcW w:type="dxa" w:w="1728"/>
          </w:tcPr>
          <w:p>
            <w:r>
              <w:t>M — Management foundation</w:t>
            </w:r>
          </w:p>
        </w:tc>
        <w:tc>
          <w:tcPr>
            <w:tcW w:type="dxa" w:w="1728"/>
          </w:tcPr>
          <w:p>
            <w:r>
              <w:t>M1</w:t>
            </w:r>
          </w:p>
        </w:tc>
        <w:tc>
          <w:tcPr>
            <w:tcW w:type="dxa" w:w="1728"/>
          </w:tcPr>
          <w:p>
            <w:r>
              <w:t>Deficient supervision</w:t>
            </w:r>
          </w:p>
        </w:tc>
        <w:tc>
          <w:tcPr>
            <w:tcW w:type="dxa" w:w="1728"/>
          </w:tcPr>
          <w:p>
            <w:r>
              <w:t>No competent supervisor present, or supervision failed to detect and halt an unsafe state</w:t>
            </w:r>
          </w:p>
        </w:tc>
        <w:tc>
          <w:tcPr>
            <w:tcW w:type="dxa" w:w="1728"/>
          </w:tcPr>
          <w:p>
            <w:r>
              <w:t>unsupervised work; supervisor absent; no on-site intervention</w:t>
            </w:r>
          </w:p>
        </w:tc>
      </w:tr>
      <w:tr>
        <w:tc>
          <w:tcPr>
            <w:tcW w:type="dxa" w:w="1728"/>
          </w:tcPr>
          <w:p>
            <w:r/>
          </w:p>
        </w:tc>
        <w:tc>
          <w:tcPr>
            <w:tcW w:type="dxa" w:w="1728"/>
          </w:tcPr>
          <w:p>
            <w:r>
              <w:t>M2</w:t>
            </w:r>
          </w:p>
        </w:tc>
        <w:tc>
          <w:tcPr>
            <w:tcW w:type="dxa" w:w="1728"/>
          </w:tcPr>
          <w:p>
            <w:r>
              <w:t>Hazard inspection failure</w:t>
            </w:r>
          </w:p>
        </w:tc>
        <w:tc>
          <w:tcPr>
            <w:tcW w:type="dxa" w:w="1728"/>
          </w:tcPr>
          <w:p>
            <w:r>
              <w:t>Hazards not inspected, not rectified, or allowed to persist over time</w:t>
            </w:r>
          </w:p>
        </w:tc>
        <w:tc>
          <w:tcPr>
            <w:tcW w:type="dxa" w:w="1728"/>
          </w:tcPr>
          <w:p>
            <w:r>
              <w:t>hazard left unrectified; perfunctory inspection; repeated reports ignored</w:t>
            </w:r>
          </w:p>
        </w:tc>
      </w:tr>
      <w:tr>
        <w:tc>
          <w:tcPr>
            <w:tcW w:type="dxa" w:w="1728"/>
          </w:tcPr>
          <w:p>
            <w:r/>
          </w:p>
        </w:tc>
        <w:tc>
          <w:tcPr>
            <w:tcW w:type="dxa" w:w="1728"/>
          </w:tcPr>
          <w:p>
            <w:r>
              <w:t>M3</w:t>
            </w:r>
          </w:p>
        </w:tc>
        <w:tc>
          <w:tcPr>
            <w:tcW w:type="dxa" w:w="1728"/>
          </w:tcPr>
          <w:p>
            <w:r>
              <w:t>Inadequate safety training</w:t>
            </w:r>
          </w:p>
        </w:tc>
        <w:tc>
          <w:tcPr>
            <w:tcW w:type="dxa" w:w="1728"/>
          </w:tcPr>
          <w:p>
            <w:r>
              <w:t>No induction training or an ineffective safety briefing; workers lacking required safety knowledge</w:t>
            </w:r>
          </w:p>
        </w:tc>
        <w:tc>
          <w:tcPr>
            <w:tcW w:type="dxa" w:w="1728"/>
          </w:tcPr>
          <w:p>
            <w:r>
              <w:t>no three-level education; no pre-shift briefing; procedure unknown to workers</w:t>
            </w:r>
          </w:p>
        </w:tc>
      </w:tr>
      <w:tr>
        <w:tc>
          <w:tcPr>
            <w:tcW w:type="dxa" w:w="1728"/>
          </w:tcPr>
          <w:p>
            <w:r/>
          </w:p>
        </w:tc>
        <w:tc>
          <w:tcPr>
            <w:tcW w:type="dxa" w:w="1728"/>
          </w:tcPr>
          <w:p>
            <w:r>
              <w:t>M4</w:t>
            </w:r>
          </w:p>
        </w:tc>
        <w:tc>
          <w:tcPr>
            <w:tcW w:type="dxa" w:w="1728"/>
          </w:tcPr>
          <w:p>
            <w:r>
              <w:t>Procedural and regulatory gaps</w:t>
            </w:r>
          </w:p>
        </w:tc>
        <w:tc>
          <w:tcPr>
            <w:tcW w:type="dxa" w:w="1728"/>
          </w:tcPr>
          <w:p>
            <w:r>
              <w:t>No safety plan, no emergency plan, or an incomplete site management system</w:t>
            </w:r>
          </w:p>
        </w:tc>
        <w:tc>
          <w:tcPr>
            <w:tcW w:type="dxa" w:w="1728"/>
          </w:tcPr>
          <w:p>
            <w:r>
              <w:t>no special construction scheme; emergency plan missing; rules not established</w:t>
            </w:r>
          </w:p>
        </w:tc>
      </w:tr>
      <w:tr>
        <w:tc>
          <w:tcPr>
            <w:tcW w:type="dxa" w:w="1728"/>
          </w:tcPr>
          <w:p>
            <w:r/>
          </w:p>
        </w:tc>
        <w:tc>
          <w:tcPr>
            <w:tcW w:type="dxa" w:w="1728"/>
          </w:tcPr>
          <w:p>
            <w:r>
              <w:t>M5</w:t>
            </w:r>
          </w:p>
        </w:tc>
        <w:tc>
          <w:tcPr>
            <w:tcW w:type="dxa" w:w="1728"/>
          </w:tcPr>
          <w:p>
            <w:r>
              <w:t>Irregular market conduct</w:t>
            </w:r>
          </w:p>
        </w:tc>
        <w:tc>
          <w:tcPr>
            <w:tcW w:type="dxa" w:w="1728"/>
          </w:tcPr>
          <w:p>
            <w:r>
              <w:t>Contracting without qualification, unlawful subcontracting, delegation, or compressed schedule</w:t>
            </w:r>
          </w:p>
        </w:tc>
        <w:tc>
          <w:tcPr>
            <w:tcW w:type="dxa" w:w="1728"/>
          </w:tcPr>
          <w:p>
            <w:r>
              <w:t>contractor unqualified; illegal subcontracting; schedule compressed</w:t>
            </w:r>
          </w:p>
        </w:tc>
      </w:tr>
      <w:tr>
        <w:tc>
          <w:tcPr>
            <w:tcW w:type="dxa" w:w="1728"/>
          </w:tcPr>
          <w:p>
            <w:r>
              <w:t>F — Protection failure</w:t>
            </w:r>
          </w:p>
        </w:tc>
        <w:tc>
          <w:tcPr>
            <w:tcW w:type="dxa" w:w="1728"/>
          </w:tcPr>
          <w:p>
            <w:r>
              <w:t>F1</w:t>
            </w:r>
          </w:p>
        </w:tc>
        <w:tc>
          <w:tcPr>
            <w:tcW w:type="dxa" w:w="1728"/>
          </w:tcPr>
          <w:p>
            <w:r>
              <w:t>Missing edge and opening protection</w:t>
            </w:r>
          </w:p>
        </w:tc>
        <w:tc>
          <w:tcPr>
            <w:tcW w:type="dxa" w:w="1728"/>
          </w:tcPr>
          <w:p>
            <w:r>
              <w:t>No guardrail, no safety net, an uncovered opening, or an unprotected edge</w:t>
            </w:r>
          </w:p>
        </w:tc>
        <w:tc>
          <w:tcPr>
            <w:tcW w:type="dxa" w:w="1728"/>
          </w:tcPr>
          <w:p>
            <w:r>
              <w:t>no guardrail at the shaft; safety net absent; opening left uncovered</w:t>
            </w:r>
          </w:p>
        </w:tc>
      </w:tr>
      <w:tr>
        <w:tc>
          <w:tcPr>
            <w:tcW w:type="dxa" w:w="1728"/>
          </w:tcPr>
          <w:p>
            <w:r/>
          </w:p>
        </w:tc>
        <w:tc>
          <w:tcPr>
            <w:tcW w:type="dxa" w:w="1728"/>
          </w:tcPr>
          <w:p>
            <w:r>
              <w:t>F2</w:t>
            </w:r>
          </w:p>
        </w:tc>
        <w:tc>
          <w:tcPr>
            <w:tcW w:type="dxa" w:w="1728"/>
          </w:tcPr>
          <w:p>
            <w:r>
              <w:t>Unstable support system</w:t>
            </w:r>
          </w:p>
        </w:tc>
        <w:tc>
          <w:tcPr>
            <w:tcW w:type="dxa" w:w="1728"/>
          </w:tcPr>
          <w:p>
            <w:r>
              <w:t>Formwork or scaffold instability, insufficient shoring, or temporary-structure failure</w:t>
            </w:r>
          </w:p>
        </w:tc>
        <w:tc>
          <w:tcPr>
            <w:tcW w:type="dxa" w:w="1728"/>
          </w:tcPr>
          <w:p>
            <w:r>
              <w:t>formwork support collapsed; scaffold unstable; shoring insufficient</w:t>
            </w:r>
          </w:p>
        </w:tc>
      </w:tr>
      <w:tr>
        <w:tc>
          <w:tcPr>
            <w:tcW w:type="dxa" w:w="1728"/>
          </w:tcPr>
          <w:p>
            <w:r/>
          </w:p>
        </w:tc>
        <w:tc>
          <w:tcPr>
            <w:tcW w:type="dxa" w:w="1728"/>
          </w:tcPr>
          <w:p>
            <w:r>
              <w:t>F3</w:t>
            </w:r>
          </w:p>
        </w:tc>
        <w:tc>
          <w:tcPr>
            <w:tcW w:type="dxa" w:w="1728"/>
          </w:tcPr>
          <w:p>
            <w:r>
              <w:t>Safety device failure</w:t>
            </w:r>
          </w:p>
        </w:tc>
        <w:tc>
          <w:tcPr>
            <w:tcW w:type="dxa" w:w="1728"/>
          </w:tcPr>
          <w:p>
            <w:r>
              <w:t>Limit switches defeated, fall arresters failed, or safety devices damaged or not fitted</w:t>
            </w:r>
          </w:p>
        </w:tc>
        <w:tc>
          <w:tcPr>
            <w:tcW w:type="dxa" w:w="1728"/>
          </w:tcPr>
          <w:p>
            <w:r>
              <w:t>limiter bypassed; arrester failed; device removed</w:t>
            </w:r>
          </w:p>
        </w:tc>
      </w:tr>
      <w:tr>
        <w:tc>
          <w:tcPr>
            <w:tcW w:type="dxa" w:w="1728"/>
          </w:tcPr>
          <w:p>
            <w:r/>
          </w:p>
        </w:tc>
        <w:tc>
          <w:tcPr>
            <w:tcW w:type="dxa" w:w="1728"/>
          </w:tcPr>
          <w:p>
            <w:r>
              <w:t>F4</w:t>
            </w:r>
          </w:p>
        </w:tc>
        <w:tc>
          <w:tcPr>
            <w:tcW w:type="dxa" w:w="1728"/>
          </w:tcPr>
          <w:p>
            <w:r>
              <w:t>Personal protective equipment unused</w:t>
            </w:r>
          </w:p>
        </w:tc>
        <w:tc>
          <w:tcPr>
            <w:tcW w:type="dxa" w:w="1728"/>
          </w:tcPr>
          <w:p>
            <w:r>
              <w:t>Safety harness, helmet, or other personal protective equipment not worn where required</w:t>
            </w:r>
          </w:p>
        </w:tc>
        <w:tc>
          <w:tcPr>
            <w:tcW w:type="dxa" w:w="1728"/>
          </w:tcPr>
          <w:p>
            <w:r>
              <w:t>harness not attached; helmet not worn; PPE absent</w:t>
            </w:r>
          </w:p>
        </w:tc>
      </w:tr>
      <w:tr>
        <w:tc>
          <w:tcPr>
            <w:tcW w:type="dxa" w:w="1728"/>
          </w:tcPr>
          <w:p>
            <w:r>
              <w:t>T — Trigger conditions</w:t>
            </w:r>
          </w:p>
        </w:tc>
        <w:tc>
          <w:tcPr>
            <w:tcW w:type="dxa" w:w="1728"/>
          </w:tcPr>
          <w:p>
            <w:r>
              <w:t>T1</w:t>
            </w:r>
          </w:p>
        </w:tc>
        <w:tc>
          <w:tcPr>
            <w:tcW w:type="dxa" w:w="1728"/>
          </w:tcPr>
          <w:p>
            <w:r>
              <w:t>Equipment and machinery failure</w:t>
            </w:r>
          </w:p>
        </w:tc>
        <w:tc>
          <w:tcPr>
            <w:tcW w:type="dxa" w:w="1728"/>
          </w:tcPr>
          <w:p>
            <w:r>
              <w:t>Equipment breakdown, wire-rope failure, mechanical fault, or brake failure</w:t>
            </w:r>
          </w:p>
        </w:tc>
        <w:tc>
          <w:tcPr>
            <w:tcW w:type="dxa" w:w="1728"/>
          </w:tcPr>
          <w:p>
            <w:r>
              <w:t>hoist failed; wire rope snapped; brake malfunction</w:t>
            </w:r>
          </w:p>
        </w:tc>
      </w:tr>
      <w:tr>
        <w:tc>
          <w:tcPr>
            <w:tcW w:type="dxa" w:w="1728"/>
          </w:tcPr>
          <w:p>
            <w:r/>
          </w:p>
        </w:tc>
        <w:tc>
          <w:tcPr>
            <w:tcW w:type="dxa" w:w="1728"/>
          </w:tcPr>
          <w:p>
            <w:r>
              <w:t>T2</w:t>
            </w:r>
          </w:p>
        </w:tc>
        <w:tc>
          <w:tcPr>
            <w:tcW w:type="dxa" w:w="1728"/>
          </w:tcPr>
          <w:p>
            <w:r>
              <w:t>Abnormal material state</w:t>
            </w:r>
          </w:p>
        </w:tc>
        <w:tc>
          <w:tcPr>
            <w:tcW w:type="dxa" w:w="1728"/>
          </w:tcPr>
          <w:p>
            <w:r>
              <w:t>Loading beyond design capacity, defective material, or material instability</w:t>
            </w:r>
          </w:p>
        </w:tc>
        <w:tc>
          <w:tcPr>
            <w:tcW w:type="dxa" w:w="1728"/>
          </w:tcPr>
          <w:p>
            <w:r>
              <w:t>stockpile over capacity; material defect; soaked material gained weight</w:t>
            </w:r>
          </w:p>
        </w:tc>
      </w:tr>
      <w:tr>
        <w:tc>
          <w:tcPr>
            <w:tcW w:type="dxa" w:w="1728"/>
          </w:tcPr>
          <w:p>
            <w:r/>
          </w:p>
        </w:tc>
        <w:tc>
          <w:tcPr>
            <w:tcW w:type="dxa" w:w="1728"/>
          </w:tcPr>
          <w:p>
            <w:r>
              <w:t>T3</w:t>
            </w:r>
          </w:p>
        </w:tc>
        <w:tc>
          <w:tcPr>
            <w:tcW w:type="dxa" w:w="1728"/>
          </w:tcPr>
          <w:p>
            <w:r>
              <w:t>Geological or ground change</w:t>
            </w:r>
          </w:p>
        </w:tc>
        <w:tc>
          <w:tcPr>
            <w:tcW w:type="dxa" w:w="1728"/>
          </w:tcPr>
          <w:p>
            <w:r>
              <w:t>Water ingress, slope instability, foundation settlement, or running sand</w:t>
            </w:r>
          </w:p>
        </w:tc>
        <w:tc>
          <w:tcPr>
            <w:tcW w:type="dxa" w:w="1728"/>
          </w:tcPr>
          <w:p>
            <w:r>
              <w:t>sudden water inflow; slope failure; foundation settlement</w:t>
            </w:r>
          </w:p>
        </w:tc>
      </w:tr>
      <w:tr>
        <w:tc>
          <w:tcPr>
            <w:tcW w:type="dxa" w:w="1728"/>
          </w:tcPr>
          <w:p>
            <w:r/>
          </w:p>
        </w:tc>
        <w:tc>
          <w:tcPr>
            <w:tcW w:type="dxa" w:w="1728"/>
          </w:tcPr>
          <w:p>
            <w:r>
              <w:t>T4</w:t>
            </w:r>
          </w:p>
        </w:tc>
        <w:tc>
          <w:tcPr>
            <w:tcW w:type="dxa" w:w="1728"/>
          </w:tcPr>
          <w:p>
            <w:r>
              <w:t>Meteorological or hydrological trigger</w:t>
            </w:r>
          </w:p>
        </w:tc>
        <w:tc>
          <w:tcPr>
            <w:tcW w:type="dxa" w:w="1728"/>
          </w:tcPr>
          <w:p>
            <w:r>
              <w:t>Heavy rain, high wind, ice and snow, lightning, or sustained rainfall</w:t>
            </w:r>
          </w:p>
        </w:tc>
        <w:tc>
          <w:tcPr>
            <w:tcW w:type="dxa" w:w="1728"/>
          </w:tcPr>
          <w:p>
            <w:r>
              <w:t>rainstorm; gale; sustained rainfall; lightning</w:t>
            </w:r>
          </w:p>
        </w:tc>
      </w:tr>
      <w:tr>
        <w:tc>
          <w:tcPr>
            <w:tcW w:type="dxa" w:w="1728"/>
          </w:tcPr>
          <w:p>
            <w:r>
              <w:t>H — Human acts</w:t>
            </w:r>
          </w:p>
        </w:tc>
        <w:tc>
          <w:tcPr>
            <w:tcW w:type="dxa" w:w="1728"/>
          </w:tcPr>
          <w:p>
            <w:r>
              <w:t>H1</w:t>
            </w:r>
          </w:p>
        </w:tc>
        <w:tc>
          <w:tcPr>
            <w:tcW w:type="dxa" w:w="1728"/>
          </w:tcPr>
          <w:p>
            <w:r>
              <w:t>Procedure violation</w:t>
            </w:r>
          </w:p>
        </w:tc>
        <w:tc>
          <w:tcPr>
            <w:tcW w:type="dxa" w:w="1728"/>
          </w:tcPr>
          <w:p>
            <w:r>
              <w:t>Work performed against the approved method, an unauthorized method change, or non-compliant erection</w:t>
            </w:r>
          </w:p>
        </w:tc>
        <w:tc>
          <w:tcPr>
            <w:tcW w:type="dxa" w:w="1728"/>
          </w:tcPr>
          <w:p>
            <w:r>
              <w:t>not built to the scheme; method changed without approval; erected off-code</w:t>
            </w:r>
          </w:p>
        </w:tc>
      </w:tr>
      <w:tr>
        <w:tc>
          <w:tcPr>
            <w:tcW w:type="dxa" w:w="1728"/>
          </w:tcPr>
          <w:p>
            <w:r/>
          </w:p>
        </w:tc>
        <w:tc>
          <w:tcPr>
            <w:tcW w:type="dxa" w:w="1728"/>
          </w:tcPr>
          <w:p>
            <w:r>
              <w:t>H2</w:t>
            </w:r>
          </w:p>
        </w:tc>
        <w:tc>
          <w:tcPr>
            <w:tcW w:type="dxa" w:w="1728"/>
          </w:tcPr>
          <w:p>
            <w:r>
              <w:t>Improper command or decision</w:t>
            </w:r>
          </w:p>
        </w:tc>
        <w:tc>
          <w:tcPr>
            <w:tcW w:type="dxa" w:w="1728"/>
          </w:tcPr>
          <w:p>
            <w:r>
              <w:t>Work ordered or continued despite a known, identified hazard</w:t>
            </w:r>
          </w:p>
        </w:tc>
        <w:tc>
          <w:tcPr>
            <w:tcW w:type="dxa" w:w="1728"/>
          </w:tcPr>
          <w:p>
            <w:r>
              <w:t>ordered to proceed; risk known and work continued</w:t>
            </w:r>
          </w:p>
        </w:tc>
      </w:tr>
      <w:tr>
        <w:tc>
          <w:tcPr>
            <w:tcW w:type="dxa" w:w="1728"/>
          </w:tcPr>
          <w:p>
            <w:r/>
          </w:p>
        </w:tc>
        <w:tc>
          <w:tcPr>
            <w:tcW w:type="dxa" w:w="1728"/>
          </w:tcPr>
          <w:p>
            <w:r>
              <w:t>H3</w:t>
            </w:r>
          </w:p>
        </w:tc>
        <w:tc>
          <w:tcPr>
            <w:tcW w:type="dxa" w:w="1728"/>
          </w:tcPr>
          <w:p>
            <w:r>
              <w:t>Risk-perception failure</w:t>
            </w:r>
          </w:p>
        </w:tc>
        <w:tc>
          <w:tcPr>
            <w:tcW w:type="dxa" w:w="1728"/>
          </w:tcPr>
          <w:p>
            <w:r>
              <w:t>Hazard not recognized, or recognized but misjudged</w:t>
            </w:r>
          </w:p>
        </w:tc>
        <w:tc>
          <w:tcPr>
            <w:tcW w:type="dxa" w:w="1728"/>
          </w:tcPr>
          <w:p>
            <w:r>
              <w:t>hazard not noticed; risk misjudged; inattention</w:t>
            </w:r>
          </w:p>
        </w:tc>
      </w:tr>
      <w:tr>
        <w:tc>
          <w:tcPr>
            <w:tcW w:type="dxa" w:w="1728"/>
          </w:tcPr>
          <w:p>
            <w:r/>
          </w:p>
        </w:tc>
        <w:tc>
          <w:tcPr>
            <w:tcW w:type="dxa" w:w="1728"/>
          </w:tcPr>
          <w:p>
            <w:r>
              <w:t>H4</w:t>
            </w:r>
          </w:p>
        </w:tc>
        <w:tc>
          <w:tcPr>
            <w:tcW w:type="dxa" w:w="1728"/>
          </w:tcPr>
          <w:p>
            <w:r>
              <w:t>Improper emergency behavior</w:t>
            </w:r>
          </w:p>
        </w:tc>
        <w:tc>
          <w:tcPr>
            <w:tcW w:type="dxa" w:w="1728"/>
          </w:tcPr>
          <w:p>
            <w:r>
              <w:t>Unprotected rescue attempts, delayed evacuation, or rescue methods that worsened the outcome</w:t>
            </w:r>
          </w:p>
        </w:tc>
        <w:tc>
          <w:tcPr>
            <w:tcW w:type="dxa" w:w="1728"/>
          </w:tcPr>
          <w:p>
            <w:r>
              <w:t>rescue rushed without protection; wrong rescue method; evacuation delayed</w:t>
            </w:r>
          </w:p>
        </w:tc>
      </w:tr>
      <w:tr>
        <w:tc>
          <w:tcPr>
            <w:tcW w:type="dxa" w:w="1728"/>
          </w:tcPr>
          <w:p>
            <w:r>
              <w:t>C — Consequence amplification</w:t>
            </w:r>
          </w:p>
        </w:tc>
        <w:tc>
          <w:tcPr>
            <w:tcW w:type="dxa" w:w="1728"/>
          </w:tcPr>
          <w:p>
            <w:r>
              <w:t>C1</w:t>
            </w:r>
          </w:p>
        </w:tc>
        <w:tc>
          <w:tcPr>
            <w:tcW w:type="dxa" w:w="1728"/>
          </w:tcPr>
          <w:p>
            <w:r>
              <w:t>Delayed rescue response</w:t>
            </w:r>
          </w:p>
        </w:tc>
        <w:tc>
          <w:tcPr>
            <w:tcW w:type="dxa" w:w="1728"/>
          </w:tcPr>
          <w:p>
            <w:r>
              <w:t>Rescue began late, no emergency plan was in force, or secondary collapse obstructed rescue</w:t>
            </w:r>
          </w:p>
        </w:tc>
        <w:tc>
          <w:tcPr>
            <w:tcW w:type="dxa" w:w="1728"/>
          </w:tcPr>
          <w:p>
            <w:r>
              <w:t>delayed rescue; secondary collapse; no emergency plan in force</w:t>
            </w:r>
          </w:p>
        </w:tc>
      </w:tr>
      <w:tr>
        <w:tc>
          <w:tcPr>
            <w:tcW w:type="dxa" w:w="1728"/>
          </w:tcPr>
          <w:p>
            <w:r/>
          </w:p>
        </w:tc>
        <w:tc>
          <w:tcPr>
            <w:tcW w:type="dxa" w:w="1728"/>
          </w:tcPr>
          <w:p>
            <w:r>
              <w:t>C2</w:t>
            </w:r>
          </w:p>
        </w:tc>
        <w:tc>
          <w:tcPr>
            <w:tcW w:type="dxa" w:w="1728"/>
          </w:tcPr>
          <w:p>
            <w:r>
              <w:t>Concealed or delayed reporting</w:t>
            </w:r>
          </w:p>
        </w:tc>
        <w:tc>
          <w:tcPr>
            <w:tcW w:type="dxa" w:w="1728"/>
          </w:tcPr>
          <w:p>
            <w:r>
              <w:t>Failure to report, under-reporting, or late reporting of the accident</w:t>
            </w:r>
          </w:p>
        </w:tc>
        <w:tc>
          <w:tcPr>
            <w:tcW w:type="dxa" w:w="1728"/>
          </w:tcPr>
          <w:p>
            <w:r>
              <w:t>accident unreported; casualty figure concealed; report filed late</w:t>
            </w:r>
          </w:p>
        </w:tc>
      </w:tr>
    </w:tbl>
    <w:p>
      <w:r>
        <w:rPr>
          <w:i/>
        </w:rPr>
        <w:t>Keywords paraphrase the Chinese expressions that occur in the corpus. The share of codes resting on inference rather than direct quotation varies by layer — 12.0% in the management layer against 3.1% in the trigger layer — consistent with the three-tier evidence scheme of Section 3.1.</w:t>
      </w:r>
    </w:p>
    <w:p>
      <w: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pPr>
        <w:pStyle w:val="Heading2"/>
      </w:pPr>
      <w:r>
        <w:rPr>
          <w:color w:val="000000"/>
        </w:rPr>
        <w:t>3.4 Pipeline architecture</w:t>
      </w:r>
    </w:p>
    <w:p>
      <w:r>
        <w:t>Figure 1 shows the overall architecture. The pipeline consists of six processing stages followed by storage and access layers.</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b/>
        </w:rPr>
        <w:t>Figure 1.</w:t>
      </w:r>
      <w:r>
        <w:rPr>
          <w:b/>
        </w:rPr>
        <w:t xml:space="preserve"> CAIEMS system architecture.</w:t>
      </w:r>
    </w:p>
    <w:p>
      <w:r>
        <w:rPr>
          <w:b/>
        </w:rPr>
        <w:t>Stage 1: Multi-source collection.</w:t>
      </w:r>
      <w:r>
        <w:t xml:space="preserve">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b/>
        </w:rPr>
        <w:t>Stage 2: LLM text classification.</w:t>
      </w:r>
      <w:r>
        <w:t xml:space="preserve"> Candidate pages are heterogeneous, and a page that mentions accidents is not necessarily a report of one. A lightweight LLM classifier assigns each record one of six text types — </w:t>
      </w:r>
      <w:r>
        <w:rPr>
          <w:i/>
        </w:rPr>
        <w:t>single-accident report</w:t>
      </w:r>
      <w:r>
        <w:t xml:space="preserve">, </w:t>
      </w:r>
      <w:r>
        <w:rPr>
          <w:i/>
        </w:rPr>
        <w:t>multi-accident compilation</w:t>
      </w:r>
      <w:r>
        <w:t xml:space="preserve">, </w:t>
      </w:r>
      <w:r>
        <w:rPr>
          <w:i/>
        </w:rPr>
        <w:t>regulatory document</w:t>
      </w:r>
      <w:r>
        <w:t xml:space="preserve">, </w:t>
      </w:r>
      <w:r>
        <w:rPr>
          <w:i/>
        </w:rPr>
        <w:t>aggregate statistics</w:t>
      </w:r>
      <w:r>
        <w:t xml:space="preserve">, </w:t>
      </w:r>
      <w:r>
        <w:rPr>
          <w:i/>
        </w:rPr>
        <w:t>training material</w:t>
      </w:r>
      <w:r>
        <w:t xml:space="preserve">, or </w:t>
      </w:r>
      <w:r>
        <w:rPr>
          <w:i/>
        </w:rPr>
        <w:t>other</w:t>
      </w:r>
      <w:r>
        <w:t xml:space="preserve">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b/>
        </w:rPr>
        <w:t>Stage 3: Basic field extraction (Step 1).</w:t>
      </w:r>
      <w:r>
        <w:t xml:space="preserve">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b/>
        </w:rPr>
        <w:t>Stage 4: CAICS causal coding (Step 2).</w:t>
      </w:r>
      <w:r>
        <w:t xml:space="preserve">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b/>
        </w:rPr>
        <w:t>Figure 2.</w:t>
      </w:r>
      <w:r>
        <w:rPr>
          <w:b/>
        </w:rPr>
        <w:t xml:space="preserve"> CAICS five-layer causal structure with an example evidence chain.</w:t>
      </w:r>
    </w:p>
    <w:p>
      <w:r>
        <w:rPr>
          <w:b/>
        </w:rPr>
        <w:t>Stage 5: LLM-first MECE enum standardization.</w:t>
      </w:r>
      <w:r>
        <w:t xml:space="preserve">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b/>
        </w:rPr>
        <w:t>Table 3.</w:t>
      </w:r>
      <w:r>
        <w:t xml:space="preserve"> MECE enumerations produced by the LLM-first procedure.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Categories</w:t>
            </w:r>
          </w:p>
        </w:tc>
        <w:tc>
          <w:tcPr>
            <w:tcW w:type="dxa" w:w="1728"/>
          </w:tcPr>
          <w:p>
            <w:r>
              <w:rPr>
                <w:b/>
              </w:rPr>
              <w:t>Non-null records (share of 2,623)</w:t>
            </w:r>
          </w:p>
        </w:tc>
        <w:tc>
          <w:tcPr>
            <w:tcW w:type="dxa" w:w="1728"/>
          </w:tcPr>
          <w:p>
            <w:r>
              <w:rPr>
                <w:b/>
              </w:rPr>
              <w:t>Largest category (share of non-null)</w:t>
            </w:r>
          </w:p>
        </w:tc>
        <w:tc>
          <w:tcPr>
            <w:tcW w:type="dxa" w:w="1728"/>
          </w:tcPr>
          <w:p>
            <w:r>
              <w:rPr>
                <w:b/>
              </w:rPr>
              <w:t>Residual "other" (share of non-null)</w:t>
            </w:r>
          </w:p>
        </w:tc>
      </w:tr>
      <w:tr>
        <w:tc>
          <w:tcPr>
            <w:tcW w:type="dxa" w:w="1728"/>
          </w:tcPr>
          <w:p>
            <w:r>
              <w:t>Work task (WT)</w:t>
            </w:r>
          </w:p>
        </w:tc>
        <w:tc>
          <w:tcPr>
            <w:tcW w:type="dxa" w:w="1728"/>
          </w:tcPr>
          <w:p>
            <w:r>
              <w:t>11</w:t>
            </w:r>
          </w:p>
        </w:tc>
        <w:tc>
          <w:tcPr>
            <w:tcW w:type="dxa" w:w="1728"/>
          </w:tcPr>
          <w:p>
            <w:r>
              <w:t>2,202 (83.9%)</w:t>
            </w:r>
          </w:p>
        </w:tc>
        <w:tc>
          <w:tcPr>
            <w:tcW w:type="dxa" w:w="1728"/>
          </w:tcPr>
          <w:p>
            <w:r>
              <w:t>WT02 main structure works (397, 18.0%)</w:t>
            </w:r>
          </w:p>
        </w:tc>
        <w:tc>
          <w:tcPr>
            <w:tcW w:type="dxa" w:w="1728"/>
          </w:tcPr>
          <w:p>
            <w:r>
              <w:t>2.9%</w:t>
            </w:r>
          </w:p>
        </w:tc>
      </w:tr>
      <w:tr>
        <w:tc>
          <w:tcPr>
            <w:tcW w:type="dxa" w:w="1728"/>
          </w:tcPr>
          <w:p>
            <w:r>
              <w:t>Equipment involved (EQP)</w:t>
            </w:r>
          </w:p>
        </w:tc>
        <w:tc>
          <w:tcPr>
            <w:tcW w:type="dxa" w:w="1728"/>
          </w:tcPr>
          <w:p>
            <w:r>
              <w:t>13</w:t>
            </w:r>
          </w:p>
        </w:tc>
        <w:tc>
          <w:tcPr>
            <w:tcW w:type="dxa" w:w="1728"/>
          </w:tcPr>
          <w:p>
            <w:r>
              <w:t>1,373 (52.3%)</w:t>
            </w:r>
          </w:p>
        </w:tc>
        <w:tc>
          <w:tcPr>
            <w:tcW w:type="dxa" w:w="1728"/>
          </w:tcPr>
          <w:p>
            <w:r>
              <w:t>EQP01 hoisting machinery (335, 24.4%)</w:t>
            </w:r>
          </w:p>
        </w:tc>
        <w:tc>
          <w:tcPr>
            <w:tcW w:type="dxa" w:w="1728"/>
          </w:tcPr>
          <w:p>
            <w:r>
              <w:t>1.9%</w:t>
            </w:r>
          </w:p>
        </w:tc>
      </w:tr>
      <w:tr>
        <w:tc>
          <w:tcPr>
            <w:tcW w:type="dxa" w:w="1728"/>
          </w:tcPr>
          <w:p>
            <w:r>
              <w:t>Material involved (MAT)</w:t>
            </w:r>
          </w:p>
        </w:tc>
        <w:tc>
          <w:tcPr>
            <w:tcW w:type="dxa" w:w="1728"/>
          </w:tcPr>
          <w:p>
            <w:r>
              <w:t>7</w:t>
            </w:r>
          </w:p>
        </w:tc>
        <w:tc>
          <w:tcPr>
            <w:tcW w:type="dxa" w:w="1728"/>
          </w:tcPr>
          <w:p>
            <w:r>
              <w:t>1,465 (55.9%)</w:t>
            </w:r>
          </w:p>
        </w:tc>
        <w:tc>
          <w:tcPr>
            <w:tcW w:type="dxa" w:w="1728"/>
          </w:tcPr>
          <w:p>
            <w:r>
              <w:t>MAT01 concrete and cement products (423, 28.9%)</w:t>
            </w:r>
          </w:p>
        </w:tc>
        <w:tc>
          <w:tcPr>
            <w:tcW w:type="dxa" w:w="1728"/>
          </w:tcPr>
          <w:p>
            <w:r>
              <w:t>11.1%</w:t>
            </w:r>
          </w:p>
        </w:tc>
      </w:tr>
      <w:tr>
        <w:tc>
          <w:tcPr>
            <w:tcW w:type="dxa" w:w="1728"/>
          </w:tcPr>
          <w:p>
            <w:r>
              <w:t>Worker type (WKR)</w:t>
            </w:r>
          </w:p>
        </w:tc>
        <w:tc>
          <w:tcPr>
            <w:tcW w:type="dxa" w:w="1728"/>
          </w:tcPr>
          <w:p>
            <w:r>
              <w:t>13</w:t>
            </w:r>
          </w:p>
        </w:tc>
        <w:tc>
          <w:tcPr>
            <w:tcW w:type="dxa" w:w="1728"/>
          </w:tcPr>
          <w:p>
            <w:r>
              <w:t>1,905 (72.6%)</w:t>
            </w:r>
          </w:p>
        </w:tc>
        <w:tc>
          <w:tcPr>
            <w:tcW w:type="dxa" w:w="1728"/>
          </w:tcPr>
          <w:p>
            <w:r>
              <w:t>WKR01 general laborers (928, 48.7%)</w:t>
            </w:r>
          </w:p>
        </w:tc>
        <w:tc>
          <w:tcPr>
            <w:tcW w:type="dxa" w:w="1728"/>
          </w:tcPr>
          <w:p>
            <w:r>
              <w:t>6.3%</w:t>
            </w:r>
          </w:p>
        </w:tc>
      </w:tr>
      <w:tr>
        <w:tc>
          <w:tcPr>
            <w:tcW w:type="dxa" w:w="1728"/>
          </w:tcPr>
          <w:p>
            <w:r>
              <w:t>Building structure (BLD)</w:t>
            </w:r>
          </w:p>
        </w:tc>
        <w:tc>
          <w:tcPr>
            <w:tcW w:type="dxa" w:w="1728"/>
          </w:tcPr>
          <w:p>
            <w:r>
              <w:t>12</w:t>
            </w:r>
          </w:p>
        </w:tc>
        <w:tc>
          <w:tcPr>
            <w:tcW w:type="dxa" w:w="1728"/>
          </w:tcPr>
          <w:p>
            <w:r>
              <w:t>359 (13.7%)</w:t>
            </w:r>
          </w:p>
        </w:tc>
        <w:tc>
          <w:tcPr>
            <w:tcW w:type="dxa" w:w="1728"/>
          </w:tcPr>
          <w:p>
            <w:r>
              <w:t>BLD01 steel structures (127, 35.4%)</w:t>
            </w:r>
          </w:p>
        </w:tc>
        <w:tc>
          <w:tcPr>
            <w:tcW w:type="dxa" w:w="1728"/>
          </w:tcPr>
          <w:p>
            <w:r>
              <w:t>3.6%</w:t>
            </w:r>
          </w:p>
        </w:tc>
      </w:tr>
    </w:tbl>
    <w:p>
      <w:r>
        <w:rPr>
          <w:b/>
        </w:rPr>
        <w:t>Stage 6: Storage and access.</w:t>
      </w:r>
      <w:r>
        <w:t xml:space="preserve">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pPr>
        <w:pStyle w:val="Heading2"/>
      </w:pPr>
      <w:r>
        <w:rPr>
          <w:color w:val="000000"/>
        </w:rPr>
        <w:t>3.5 Multimodal extension</w:t>
      </w:r>
    </w:p>
    <w:p>
      <w: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pPr>
        <w:pStyle w:val="Heading2"/>
      </w:pPr>
      <w:r>
        <w:rPr>
          <w:color w:val="000000"/>
        </w:rPr>
        <w:t>3.6 Database statistics</w:t>
      </w:r>
    </w:p>
    <w:p>
      <w:r>
        <w:t>Table 4 summarizes the database with counts that close against the total.</w:t>
      </w:r>
    </w:p>
    <w:p>
      <w:r>
        <w:rPr>
          <w:b/>
        </w:rPr>
        <w:t>Table 4.</w:t>
      </w:r>
      <w:r>
        <w:t xml:space="preserve"> Database statistics.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Value</w:t>
            </w:r>
          </w:p>
        </w:tc>
      </w:tr>
      <w:tr>
        <w:tc>
          <w:tcPr>
            <w:tcW w:type="dxa" w:w="4320"/>
          </w:tcPr>
          <w:p>
            <w:r>
              <w:t>Records</w:t>
            </w:r>
          </w:p>
        </w:tc>
        <w:tc>
          <w:tcPr>
            <w:tcW w:type="dxa" w:w="4320"/>
          </w:tcPr>
          <w:p>
            <w:r>
              <w:t>2,623</w:t>
            </w:r>
          </w:p>
        </w:tc>
      </w:tr>
      <w:tr>
        <w:tc>
          <w:tcPr>
            <w:tcW w:type="dxa" w:w="4320"/>
          </w:tcPr>
          <w:p>
            <w:r>
              <w:t>Time span</w:t>
            </w:r>
          </w:p>
        </w:tc>
        <w:tc>
          <w:tcPr>
            <w:tcW w:type="dxa" w:w="4320"/>
          </w:tcPr>
          <w:p>
            <w:r>
              <w:t>1978-08 to 2026-06 (1991–2004 unrepresented)</w:t>
            </w:r>
          </w:p>
        </w:tc>
      </w:tr>
      <w:tr>
        <w:tc>
          <w:tcPr>
            <w:tcW w:type="dxa" w:w="4320"/>
          </w:tcPr>
          <w:p>
            <w:r>
              <w:t>Accident types</w:t>
            </w:r>
          </w:p>
        </w:tc>
        <w:tc>
          <w:tcPr>
            <w:tcW w:type="dxa" w:w="4320"/>
          </w:tcPr>
          <w:p>
            <w:r>
              <w:t>12 categories, 2,617 records labeled (collapse 1,092; fall-from-height 570; hoisting 225; earthwork collapse 222; electrocution 160; struck-by 119; other 50; fire/explosion 47; mechanical 46; poisoning/asphyxiation 41; vehicle 38; drowning 7); 6 records unlabeled</w:t>
            </w:r>
          </w:p>
        </w:tc>
      </w:tr>
      <w:tr>
        <w:tc>
          <w:tcPr>
            <w:tcW w:type="dxa" w:w="4320"/>
          </w:tcPr>
          <w:p>
            <w:r>
              <w:t>Severity</w:t>
            </w:r>
          </w:p>
        </w:tc>
        <w:tc>
          <w:tcPr>
            <w:tcW w:type="dxa" w:w="4320"/>
          </w:tcPr>
          <w:p>
            <w:r>
              <w:t>general 1,889; relatively major 672; major 53; particularly major 8; 1 record unlabeled</w:t>
            </w:r>
          </w:p>
        </w:tc>
      </w:tr>
      <w:tr>
        <w:tc>
          <w:tcPr>
            <w:tcW w:type="dxa" w:w="4320"/>
          </w:tcPr>
          <w:p>
            <w:r>
              <w:t>Casualties</w:t>
            </w:r>
          </w:p>
        </w:tc>
        <w:tc>
          <w:tcPr>
            <w:tcW w:type="dxa" w:w="4320"/>
          </w:tcPr>
          <w:p>
            <w:r>
              <w:t>5,894 deaths; 5,796 injuries</w:t>
            </w:r>
          </w:p>
        </w:tc>
      </w:tr>
      <w:tr>
        <w:tc>
          <w:tcPr>
            <w:tcW w:type="dxa" w:w="4320"/>
          </w:tcPr>
          <w:p>
            <w:r>
              <w:t>Causal annotations</w:t>
            </w:r>
          </w:p>
        </w:tc>
        <w:tc>
          <w:tcPr>
            <w:tcW w:type="dxa" w:w="4320"/>
          </w:tcPr>
          <w:p>
            <w:r>
              <w:t>16,323 total (explicit 14,784 / inferred 1,117 / prior 422)</w:t>
            </w:r>
          </w:p>
        </w:tc>
      </w:tr>
      <w:tr>
        <w:tc>
          <w:tcPr>
            <w:tcW w:type="dxa" w:w="4320"/>
          </w:tcPr>
          <w:p>
            <w:r>
              <w:t>Search-enriched records</w:t>
            </w:r>
          </w:p>
        </w:tc>
        <w:tc>
          <w:tcPr>
            <w:tcW w:type="dxa" w:w="4320"/>
          </w:tcPr>
          <w:p>
            <w:r>
              <w:t>1,636</w:t>
            </w:r>
          </w:p>
        </w:tc>
      </w:tr>
      <w:tr>
        <w:tc>
          <w:tcPr>
            <w:tcW w:type="dxa" w:w="4320"/>
          </w:tcPr>
          <w:p>
            <w:r>
              <w:t>CLIP-filtered images</w:t>
            </w:r>
          </w:p>
        </w:tc>
        <w:tc>
          <w:tcPr>
            <w:tcW w:type="dxa" w:w="4320"/>
          </w:tcPr>
          <w:p>
            <w:r>
              <w:t>226</w:t>
            </w:r>
          </w:p>
        </w:tc>
      </w:tr>
      <w:tr>
        <w:tc>
          <w:tcPr>
            <w:tcW w:type="dxa" w:w="4320"/>
          </w:tcPr>
          <w:p>
            <w:r>
              <w:t>VLM analyses</w:t>
            </w:r>
          </w:p>
        </w:tc>
        <w:tc>
          <w:tcPr>
            <w:tcW w:type="dxa" w:w="4320"/>
          </w:tcPr>
          <w:p>
            <w:r>
              <w:t>282 across 176 accidents</w:t>
            </w:r>
          </w:p>
        </w:tc>
      </w:tr>
    </w:tbl>
    <w:p>
      <w: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b/>
        </w:rPr>
        <w:t>Figure 3.</w:t>
      </w:r>
      <w:r>
        <w:rPr>
          <w:b/>
        </w:rPr>
        <w:t xml:space="preserve"> Distribution of causal annotations across the nineteen CAICS categories.</w:t>
      </w:r>
    </w:p>
    <w:p>
      <w:pPr>
        <w:pStyle w:val="Heading1"/>
      </w:pPr>
      <w:r>
        <w:rPr>
          <w:color w:val="000000"/>
          <w:sz w:val="28"/>
        </w:rPr>
        <w:t>4. Experimental Evaluation</w:t>
      </w:r>
    </w:p>
    <w:p>
      <w: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pPr>
        <w:pStyle w:val="Heading2"/>
      </w:pPr>
      <w:r>
        <w:rPr>
          <w:color w:val="000000"/>
        </w:rPr>
        <w:t>4.1 Datasets and sampling</w:t>
      </w:r>
    </w:p>
    <w:p>
      <w:r>
        <w:rPr>
          <w:b/>
        </w:rPr>
        <w:t>Full corpus.</w:t>
      </w:r>
      <w:r>
        <w:t xml:space="preserve">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b/>
        </w:rPr>
        <w:t>Silver standard.</w:t>
      </w:r>
      <w:r>
        <w:t xml:space="preserve">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b/>
        </w:rPr>
        <w:t>Evaluation samples.</w:t>
      </w:r>
    </w:p>
    <w:p>
      <w:r>
        <w:t xml:space="preserve">1. </w:t>
      </w:r>
      <w:r>
        <w:rPr>
          <w:i/>
        </w:rPr>
        <w:t>Model comparison sample</w:t>
      </w:r>
      <w:r>
        <w:t xml:space="preserve"> (n = 200). Stratified by accident type (11 classes, minimum three per class) drawn from the silver standard.</w:t>
      </w:r>
    </w:p>
    <w:p>
      <w:r>
        <w:t xml:space="preserve">2. </w:t>
      </w:r>
      <w:r>
        <w:rPr>
          <w:i/>
        </w:rPr>
        <w:t>Strategy comparison sample</w:t>
      </w:r>
      <w:r>
        <w:t xml:space="preserve"> (n = 100). Drawn from the silver standard covering all 12 accident types and all 19 CAICS categories; causal ground truth is the three-expert majority vote described above. </w:t>
      </w:r>
      <w:r>
        <w:rPr>
          <w:b/>
        </w:rPr>
        <w:t>Scope statement:</w:t>
      </w:r>
      <w:r>
        <w:t xml:space="preserve">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r>
    </w:p>
    <w:p>
      <w:r>
        <w:t xml:space="preserve">3. </w:t>
      </w:r>
      <w:r>
        <w:rPr>
          <w:i/>
        </w:rPr>
        <w:t>Agreement sample</w:t>
      </w:r>
      <w:r>
        <w:t xml:space="preserv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t>Figure 4 summarizes the sample hierarchy.</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b/>
        </w:rPr>
        <w:t>Figure 4.</w:t>
      </w:r>
      <w:r>
        <w:rPr>
          <w:b/>
        </w:rPr>
        <w:t xml:space="preserve"> Dataset hierarchy and the three evaluation samples.</w:t>
      </w:r>
    </w:p>
    <w:p>
      <w:pPr>
        <w:pStyle w:val="Heading2"/>
      </w:pPr>
      <w:r>
        <w:rPr>
          <w:color w:val="000000"/>
        </w:rPr>
        <w:t>4.2 Evaluation metrics</w:t>
      </w:r>
    </w:p>
    <w:p>
      <w: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pPr>
        <w:pStyle w:val="Heading2"/>
      </w:pPr>
      <w:r>
        <w:rPr>
          <w:color w:val="000000"/>
        </w:rPr>
        <w:t>4.3 Experiment 1: Backbone selection under explicit constraints</w:t>
      </w:r>
    </w:p>
    <w:p>
      <w: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b/>
        </w:rPr>
        <w:t>Table 5.</w:t>
      </w:r>
      <w:r>
        <w:t xml:space="preserve"> Basic field extraction accuracy (%),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Accident type</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Severity</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Deaths</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Injuries</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Province</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City</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Overall</w:t>
            </w:r>
          </w:p>
        </w:tc>
        <w:tc>
          <w:tcPr>
            <w:tcW w:type="dxa" w:w="1728"/>
          </w:tcPr>
          <w:p>
            <w:r>
              <w:t>91.2</w:t>
            </w:r>
          </w:p>
        </w:tc>
        <w:tc>
          <w:tcPr>
            <w:tcW w:type="dxa" w:w="1728"/>
          </w:tcPr>
          <w:p>
            <w:r>
              <w:t>91.5</w:t>
            </w:r>
          </w:p>
        </w:tc>
        <w:tc>
          <w:tcPr>
            <w:tcW w:type="dxa" w:w="1728"/>
          </w:tcPr>
          <w:p>
            <w:r>
              <w:t>91.5</w:t>
            </w:r>
          </w:p>
        </w:tc>
        <w:tc>
          <w:tcPr>
            <w:tcW w:type="dxa" w:w="1728"/>
          </w:tcPr>
          <w:p>
            <w:r>
              <w:t>63.9</w:t>
            </w:r>
          </w:p>
        </w:tc>
      </w:tr>
    </w:tbl>
    <w:p>
      <w: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b/>
        </w:rPr>
        <w:t>Table 6.</w:t>
      </w:r>
      <w:r>
        <w:t xml:space="preserve"> Causal coding precision / recall / F1 (%) by dimension,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Dimension</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Management</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Protection</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Trigger</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Human</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Average</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4.4 Experiment 2: Prompt strategy comparison and the Lexical Gatekeeping observation</w:t>
      </w:r>
    </w:p>
    <w:p>
      <w:pPr>
        <w:pStyle w:val="Heading3"/>
      </w:pPr>
      <w:r>
        <w:rPr>
          <w:color w:val="000000"/>
        </w:rPr>
        <w:t>4.4.1 Design</w:t>
      </w:r>
    </w:p>
    <w:p>
      <w: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b/>
        </w:rPr>
        <w:t>Table 7.</w:t>
      </w:r>
      <w:r>
        <w:t xml:space="preserve"> Performance of six prompting strategies (majority-vote ground truth, n = 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Strategy</w:t>
            </w:r>
          </w:p>
        </w:tc>
        <w:tc>
          <w:tcPr>
            <w:tcW w:type="dxa" w:w="1080"/>
          </w:tcPr>
          <w:p>
            <w:r>
              <w:rPr>
                <w:b/>
              </w:rPr>
              <w:t>Avg. F1 [95% CI]</w:t>
            </w:r>
          </w:p>
        </w:tc>
        <w:tc>
          <w:tcPr>
            <w:tcW w:type="dxa" w:w="1080"/>
          </w:tcPr>
          <w:p>
            <w:r>
              <w:rPr>
                <w:b/>
              </w:rPr>
              <w:t>Avg. Recall</w:t>
            </w:r>
          </w:p>
        </w:tc>
        <w:tc>
          <w:tcPr>
            <w:tcW w:type="dxa" w:w="1080"/>
          </w:tcPr>
          <w:p>
            <w:r>
              <w:rPr>
                <w:b/>
              </w:rPr>
              <w:t>Avg. Precision</w:t>
            </w:r>
          </w:p>
        </w:tc>
        <w:tc>
          <w:tcPr>
            <w:tcW w:type="dxa" w:w="1080"/>
          </w:tcPr>
          <w:p>
            <w:r>
              <w:rPr>
                <w:b/>
              </w:rPr>
              <w:t>Type acc.</w:t>
            </w:r>
          </w:p>
        </w:tc>
        <w:tc>
          <w:tcPr>
            <w:tcW w:type="dxa" w:w="1080"/>
          </w:tcPr>
          <w:p>
            <w:r>
              <w:rPr>
                <w:b/>
              </w:rPr>
              <w:t>Severity acc.</w:t>
            </w:r>
          </w:p>
        </w:tc>
        <w:tc>
          <w:tcPr>
            <w:tcW w:type="dxa" w:w="1080"/>
          </w:tcPr>
          <w:p>
            <w:r>
              <w:rPr>
                <w:b/>
              </w:rPr>
              <w:t>Valid-output rate</w:t>
            </w:r>
          </w:p>
        </w:tc>
        <w:tc>
          <w:tcPr>
            <w:tcW w:type="dxa" w:w="1080"/>
          </w:tcPr>
          <w:p>
            <w:r>
              <w:rPr>
                <w:b/>
              </w:rPr>
              <w:t>Time (s)</w:t>
            </w:r>
          </w:p>
        </w:tc>
      </w:tr>
      <w:tr>
        <w:tc>
          <w:tcPr>
            <w:tcW w:type="dxa" w:w="1080"/>
          </w:tcPr>
          <w:p>
            <w:r>
              <w:t>S0 Zero-Shot</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Few-Shot</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Plan-and-Solve</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Notes.</w:t>
      </w:r>
      <w:r>
        <w:t xml:space="preserve">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pPr>
        <w:pStyle w:val="Heading3"/>
      </w:pPr>
      <w:r>
        <w:rPr>
          <w:color w:val="000000"/>
        </w:rPr>
        <w:t>4.4.2 Few-Shot outperforms domain CoT on this model–task pair</w:t>
      </w:r>
    </w:p>
    <w:p>
      <w:r>
        <w:t>Table 7 reports the comparison. S1's examples perform joint format-content calibration: they demonstrate the output schema, the expected code density, code combination patterns, and inference depth. S1's average code density came closest to the ground truth of any strategy (4.2 vs. 5.1), while S0 under-coded (2.8) and S4 over-coded (9.2).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pPr>
        <w:pStyle w:val="Heading3"/>
      </w:pPr>
      <w:r>
        <w:rPr>
          <w:color w:val="000000"/>
        </w:rPr>
        <w:t>4.4.3 The Lexical Gatekeeping observation and its remedy</w:t>
      </w:r>
    </w:p>
    <w:p>
      <w: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t xml:space="preserve">We term this observed pattern the </w:t>
      </w:r>
      <w:r>
        <w:rPr>
          <w:b/>
        </w:rPr>
        <w:t>Lexical Gatekeeping Effect</w:t>
      </w:r>
      <w:r>
        <w:t>: interrogative conditional-check CoT phrasing suppresses paraphrastic evidence for implicit categories, concentrating recall loss on the highest-frequency implicit codes. The term describes an observation; it does not by itself identify a mechanism.</w:t>
      </w:r>
    </w:p>
    <w:p>
      <w: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b/>
        </w:rPr>
        <w:t>Figure 5.</w:t>
      </w:r>
      <w:r>
        <w:rPr>
          <w:b/>
        </w:rPr>
        <w:t xml:space="preserve"> The Lexical Gatekeeping observation and its remedy.</w:t>
      </w:r>
    </w:p>
    <w:p>
      <w:pPr>
        <w:pStyle w:val="Heading3"/>
      </w:pPr>
      <w:r>
        <w:rPr>
          <w:color w:val="000000"/>
        </w:rPr>
        <w:t>4.4.4 A constrained ablation of the phrasing change</w:t>
      </w:r>
    </w:p>
    <w:p>
      <w: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b/>
        </w:rPr>
        <w:t>Table 8.</w:t>
      </w:r>
      <w:r>
        <w:t xml:space="preserve"> Four-cell comparison of phrasing and output policy (n = 100, majority-vote ground truth, DeepSeek V4, 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w:t>
            </w:r>
          </w:p>
        </w:tc>
        <w:tc>
          <w:tcPr>
            <w:tcW w:type="dxa" w:w="864"/>
          </w:tcPr>
          <w:p>
            <w:r>
              <w:rPr>
                <w:b/>
              </w:rPr>
              <w:t>Phrasing</w:t>
            </w:r>
          </w:p>
        </w:tc>
        <w:tc>
          <w:tcPr>
            <w:tcW w:type="dxa" w:w="864"/>
          </w:tcPr>
          <w:p>
            <w:r>
              <w:rPr>
                <w:b/>
              </w:rPr>
              <w:t>Output policy</w:t>
            </w:r>
          </w:p>
        </w:tc>
        <w:tc>
          <w:tcPr>
            <w:tcW w:type="dxa" w:w="864"/>
          </w:tcPr>
          <w:p>
            <w:r>
              <w:rPr>
                <w:b/>
              </w:rPr>
              <w:t>F1</w:t>
            </w:r>
          </w:p>
        </w:tc>
        <w:tc>
          <w:tcPr>
            <w:tcW w:type="dxa" w:w="864"/>
          </w:tcPr>
          <w:p>
            <w:r>
              <w:rPr>
                <w:b/>
              </w:rPr>
              <w:t>Recall</w:t>
            </w:r>
          </w:p>
        </w:tc>
        <w:tc>
          <w:tcPr>
            <w:tcW w:type="dxa" w:w="864"/>
          </w:tcPr>
          <w:p>
            <w:r>
              <w:rPr>
                <w:b/>
              </w:rPr>
              <w:t>Precision</w:t>
            </w:r>
          </w:p>
        </w:tc>
        <w:tc>
          <w:tcPr>
            <w:tcW w:type="dxa" w:w="864"/>
          </w:tcPr>
          <w:p>
            <w:r>
              <w:rPr>
                <w:b/>
              </w:rPr>
              <w:t>Empty output</w:t>
            </w:r>
          </w:p>
        </w:tc>
        <w:tc>
          <w:tcPr>
            <w:tcW w:type="dxa" w:w="864"/>
          </w:tcPr>
          <w:p>
            <w:r>
              <w:rPr>
                <w:b/>
              </w:rPr>
              <w:t>M1 recall</w:t>
            </w:r>
          </w:p>
        </w:tc>
        <w:tc>
          <w:tcPr>
            <w:tcW w:type="dxa" w:w="864"/>
          </w:tcPr>
          <w:p>
            <w:r>
              <w:rPr>
                <w:b/>
              </w:rPr>
              <w:t>M3 recall</w:t>
            </w:r>
          </w:p>
        </w:tc>
        <w:tc>
          <w:tcPr>
            <w:tcW w:type="dxa" w:w="864"/>
          </w:tcPr>
          <w:p>
            <w:r>
              <w:rPr>
                <w:b/>
              </w:rPr>
              <w:t>H3 recall</w:t>
            </w:r>
          </w:p>
        </w:tc>
      </w:tr>
      <w:tr>
        <w:tc>
          <w:tcPr>
            <w:tcW w:type="dxa" w:w="864"/>
          </w:tcPr>
          <w:p>
            <w:r>
              <w:t>v1</w:t>
            </w:r>
          </w:p>
        </w:tc>
        <w:tc>
          <w:tcPr>
            <w:tcW w:type="dxa" w:w="864"/>
          </w:tcPr>
          <w:p>
            <w:r>
              <w:t>Conditional checks</w:t>
            </w:r>
          </w:p>
        </w:tc>
        <w:tc>
          <w:tcPr>
            <w:tcW w:type="dxa" w:w="864"/>
          </w:tcPr>
          <w:p>
            <w:r>
              <w:t>Conservative</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Two-step judgment</w:t>
            </w:r>
          </w:p>
        </w:tc>
        <w:tc>
          <w:tcPr>
            <w:tcW w:type="dxa" w:w="864"/>
          </w:tcPr>
          <w:p>
            <w:r>
              <w:t>Conservative</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Conditional checks</w:t>
            </w:r>
          </w:p>
        </w:tc>
        <w:tc>
          <w:tcPr>
            <w:tcW w:type="dxa" w:w="864"/>
          </w:tcPr>
          <w:p>
            <w:r>
              <w:t>Coverage preference</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Two-step judgment</w:t>
            </w:r>
          </w:p>
        </w:tc>
        <w:tc>
          <w:tcPr>
            <w:tcW w:type="dxa" w:w="864"/>
          </w:tcPr>
          <w:p>
            <w:r>
              <w:t>Coverage preference</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Δ(phrasing)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Δ(policy)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pPr>
        <w:pStyle w:val="Heading3"/>
      </w:pPr>
      <w:r>
        <w:rPr>
          <w:color w:val="000000"/>
        </w:rPr>
        <w:t>4.4.5 Strategy selection for the production pipeline</w:t>
      </w:r>
    </w:p>
    <w:p>
      <w: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pPr>
        <w:pStyle w:val="Heading2"/>
      </w:pPr>
      <w:r>
        <w:rPr>
          <w:color w:val="000000"/>
        </w:rPr>
        <w:t>4.5 Experiment 3: Agreement between the LLM and one trained annotator</w:t>
      </w:r>
    </w:p>
    <w:p>
      <w: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b/>
        </w:rPr>
        <w:t>Table 9.</w:t>
      </w:r>
      <w:r>
        <w:t xml:space="preserve"> Agreement between the LLM and one trained annotator on six basic fields (n = 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Feature</w:t>
            </w:r>
          </w:p>
        </w:tc>
        <w:tc>
          <w:tcPr>
            <w:tcW w:type="dxa" w:w="2160"/>
          </w:tcPr>
          <w:p>
            <w:r>
              <w:rPr>
                <w:b/>
              </w:rPr>
              <w:t>Metric</w:t>
            </w:r>
          </w:p>
        </w:tc>
        <w:tc>
          <w:tcPr>
            <w:tcW w:type="dxa" w:w="2160"/>
          </w:tcPr>
          <w:p>
            <w:r>
              <w:rPr>
                <w:b/>
              </w:rPr>
              <w:t>Value [95% CI]</w:t>
            </w:r>
          </w:p>
        </w:tc>
        <w:tc>
          <w:tcPr>
            <w:tcW w:type="dxa" w:w="2160"/>
          </w:tcPr>
          <w:p>
            <w:r>
              <w:rPr>
                <w:b/>
              </w:rPr>
              <w:t>Agreement</w:t>
            </w:r>
          </w:p>
        </w:tc>
      </w:tr>
      <w:tr>
        <w:tc>
          <w:tcPr>
            <w:tcW w:type="dxa" w:w="2160"/>
          </w:tcPr>
          <w:p>
            <w:r>
              <w:t>Accident type</w:t>
            </w:r>
          </w:p>
        </w:tc>
        <w:tc>
          <w:tcPr>
            <w:tcW w:type="dxa" w:w="2160"/>
          </w:tcPr>
          <w:p>
            <w:r>
              <w:t>Cohen's κ</w:t>
            </w:r>
          </w:p>
        </w:tc>
        <w:tc>
          <w:tcPr>
            <w:tcW w:type="dxa" w:w="2160"/>
          </w:tcPr>
          <w:p>
            <w:r>
              <w:t>0.9136 [0.8747, 0.9466]</w:t>
            </w:r>
          </w:p>
        </w:tc>
        <w:tc>
          <w:tcPr>
            <w:tcW w:type="dxa" w:w="2160"/>
          </w:tcPr>
          <w:p>
            <w:r>
              <w:t>93.4%</w:t>
            </w:r>
          </w:p>
        </w:tc>
      </w:tr>
      <w:tr>
        <w:tc>
          <w:tcPr>
            <w:tcW w:type="dxa" w:w="2160"/>
          </w:tcPr>
          <w:p>
            <w:r>
              <w:t>Severity</w:t>
            </w:r>
          </w:p>
        </w:tc>
        <w:tc>
          <w:tcPr>
            <w:tcW w:type="dxa" w:w="2160"/>
          </w:tcPr>
          <w:p>
            <w:r>
              <w:t>Cohen's κ</w:t>
            </w:r>
          </w:p>
        </w:tc>
        <w:tc>
          <w:tcPr>
            <w:tcW w:type="dxa" w:w="2160"/>
          </w:tcPr>
          <w:p>
            <w:r>
              <w:t>0.9477 [0.9024, 0.9841]</w:t>
            </w:r>
          </w:p>
        </w:tc>
        <w:tc>
          <w:tcPr>
            <w:tcW w:type="dxa" w:w="2160"/>
          </w:tcPr>
          <w:p>
            <w:r>
              <w:t>97.6%</w:t>
            </w:r>
          </w:p>
        </w:tc>
      </w:tr>
      <w:tr>
        <w:tc>
          <w:tcPr>
            <w:tcW w:type="dxa" w:w="2160"/>
          </w:tcPr>
          <w:p>
            <w:r>
              <w:t>Province</w:t>
            </w:r>
          </w:p>
        </w:tc>
        <w:tc>
          <w:tcPr>
            <w:tcW w:type="dxa" w:w="2160"/>
          </w:tcPr>
          <w:p>
            <w:r>
              <w:t>Cohen's κ</w:t>
            </w:r>
          </w:p>
        </w:tc>
        <w:tc>
          <w:tcPr>
            <w:tcW w:type="dxa" w:w="2160"/>
          </w:tcPr>
          <w:p>
            <w:r>
              <w:t>0.9746 [0.9563, 0.9927]</w:t>
            </w:r>
          </w:p>
        </w:tc>
        <w:tc>
          <w:tcPr>
            <w:tcW w:type="dxa" w:w="2160"/>
          </w:tcPr>
          <w:p>
            <w:r>
              <w:t>97.6%</w:t>
            </w:r>
          </w:p>
        </w:tc>
      </w:tr>
      <w:tr>
        <w:tc>
          <w:tcPr>
            <w:tcW w:type="dxa" w:w="2160"/>
          </w:tcPr>
          <w:p>
            <w:r>
              <w:t>Deaths</w:t>
            </w:r>
          </w:p>
        </w:tc>
        <w:tc>
          <w:tcPr>
            <w:tcW w:type="dxa" w:w="2160"/>
          </w:tcPr>
          <w:p>
            <w:r>
              <w:t>ICC(2,1)</w:t>
            </w:r>
          </w:p>
        </w:tc>
        <w:tc>
          <w:tcPr>
            <w:tcW w:type="dxa" w:w="2160"/>
          </w:tcPr>
          <w:p>
            <w:r>
              <w:t>0.9849 [0.9292, 0.9991]</w:t>
            </w:r>
          </w:p>
        </w:tc>
        <w:tc>
          <w:tcPr>
            <w:tcW w:type="dxa" w:w="2160"/>
          </w:tcPr>
          <w:p>
            <w:r>
              <w:t>MAE 0.118</w:t>
            </w:r>
          </w:p>
        </w:tc>
      </w:tr>
      <w:tr>
        <w:tc>
          <w:tcPr>
            <w:tcW w:type="dxa" w:w="2160"/>
          </w:tcPr>
          <w:p>
            <w:r>
              <w:t>Injuries</w:t>
            </w:r>
          </w:p>
        </w:tc>
        <w:tc>
          <w:tcPr>
            <w:tcW w:type="dxa" w:w="2160"/>
          </w:tcPr>
          <w:p>
            <w:r>
              <w:t>ICC(2,1)</w:t>
            </w:r>
          </w:p>
        </w:tc>
        <w:tc>
          <w:tcPr>
            <w:tcW w:type="dxa" w:w="2160"/>
          </w:tcPr>
          <w:p>
            <w:r>
              <w:t>0.9853 [0.9426, 0.9995]</w:t>
            </w:r>
          </w:p>
        </w:tc>
        <w:tc>
          <w:tcPr>
            <w:tcW w:type="dxa" w:w="2160"/>
          </w:tcPr>
          <w:p>
            <w:r>
              <w:t>MAE 0.087</w:t>
            </w:r>
          </w:p>
        </w:tc>
      </w:tr>
      <w:tr>
        <w:tc>
          <w:tcPr>
            <w:tcW w:type="dxa" w:w="2160"/>
          </w:tcPr>
          <w:p>
            <w:r>
              <w:t>Date (year-month)</w:t>
            </w:r>
          </w:p>
        </w:tc>
        <w:tc>
          <w:tcPr>
            <w:tcW w:type="dxa" w:w="2160"/>
          </w:tcPr>
          <w:p>
            <w:r>
              <w:t>Match rate</w:t>
            </w:r>
          </w:p>
        </w:tc>
        <w:tc>
          <w:tcPr>
            <w:tcW w:type="dxa" w:w="2160"/>
          </w:tcPr>
          <w:p>
            <w:r>
              <w:t>0.9965</w:t>
            </w:r>
          </w:p>
        </w:tc>
        <w:tc>
          <w:tcPr>
            <w:tcW w:type="dxa" w:w="2160"/>
          </w:tcPr>
          <w:p>
            <w:r>
              <w:t>99.7%</w:t>
            </w:r>
          </w:p>
        </w:tc>
      </w:tr>
    </w:tbl>
    <w:p>
      <w: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b/>
        </w:rPr>
        <w:t>Figure 6.</w:t>
      </w:r>
      <w:r>
        <w:rPr>
          <w:b/>
        </w:rPr>
        <w:t xml:space="preserve"> Agreement between the LLM and one annotator on six fields.</w:t>
      </w:r>
    </w:p>
    <w:p>
      <w:pPr>
        <w:pStyle w:val="Heading1"/>
      </w:pPr>
      <w:r>
        <w:rPr>
          <w:color w:val="000000"/>
          <w:sz w:val="28"/>
        </w:rPr>
        <w:t>5. Discussion</w:t>
      </w:r>
    </w:p>
    <w:p>
      <w:pPr>
        <w:pStyle w:val="Heading2"/>
      </w:pPr>
      <w:r>
        <w:rPr>
          <w:color w:val="000000"/>
        </w:rPr>
        <w:t>5.1 Implications</w:t>
      </w:r>
    </w:p>
    <w:p>
      <w: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pPr>
        <w:pStyle w:val="Heading2"/>
      </w:pPr>
      <w:r>
        <w:rPr>
          <w:color w:val="000000"/>
        </w:rPr>
        <w:t>5.2 Comparison with prior work</w:t>
      </w:r>
    </w:p>
    <w:p>
      <w: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b/>
        </w:rPr>
        <w:t>Table 10.</w:t>
      </w:r>
      <w:r>
        <w:t xml:space="preserve"> Descriptive comparison with representative prior systems.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System</w:t>
            </w:r>
          </w:p>
        </w:tc>
        <w:tc>
          <w:tcPr>
            <w:tcW w:type="dxa" w:w="1234"/>
          </w:tcPr>
          <w:p>
            <w:r>
              <w:rPr>
                <w:b/>
              </w:rPr>
              <w:t>Domain</w:t>
            </w:r>
          </w:p>
        </w:tc>
        <w:tc>
          <w:tcPr>
            <w:tcW w:type="dxa" w:w="1234"/>
          </w:tcPr>
          <w:p>
            <w:r>
              <w:rPr>
                <w:b/>
              </w:rPr>
              <w:t>LLM</w:t>
            </w:r>
          </w:p>
        </w:tc>
        <w:tc>
          <w:tcPr>
            <w:tcW w:type="dxa" w:w="1234"/>
          </w:tcPr>
          <w:p>
            <w:r>
              <w:rPr>
                <w:b/>
              </w:rPr>
              <w:t>Coding scheme</w:t>
            </w:r>
          </w:p>
        </w:tc>
        <w:tc>
          <w:tcPr>
            <w:tcW w:type="dxa" w:w="1234"/>
          </w:tcPr>
          <w:p>
            <w:r>
              <w:rPr>
                <w:b/>
              </w:rPr>
              <w:t>Evidence binding</w:t>
            </w:r>
          </w:p>
        </w:tc>
        <w:tc>
          <w:tcPr>
            <w:tcW w:type="dxa" w:w="1234"/>
          </w:tcPr>
          <w:p>
            <w:r>
              <w:rPr>
                <w:b/>
              </w:rPr>
              <w:t>Human validation</w:t>
            </w:r>
          </w:p>
        </w:tc>
        <w:tc>
          <w:tcPr>
            <w:tcW w:type="dxa" w:w="1234"/>
          </w:tcPr>
          <w:p>
            <w:r>
              <w:rPr>
                <w:b/>
              </w:rPr>
              <w:t>Interactive access</w:t>
            </w:r>
          </w:p>
        </w:tc>
      </w:tr>
      <w:tr>
        <w:tc>
          <w:tcPr>
            <w:tcW w:type="dxa" w:w="1234"/>
          </w:tcPr>
          <w:p>
            <w:r>
              <w:t>Liu et al. (2025a)</w:t>
            </w:r>
          </w:p>
        </w:tc>
        <w:tc>
          <w:tcPr>
            <w:tcW w:type="dxa" w:w="1234"/>
          </w:tcPr>
          <w:p>
            <w:r>
              <w:t>Aviation</w:t>
            </w:r>
          </w:p>
        </w:tc>
        <w:tc>
          <w:tcPr>
            <w:tcW w:type="dxa" w:w="1234"/>
          </w:tcPr>
          <w:p>
            <w:r>
              <w:t>GPT-4o</w:t>
            </w:r>
          </w:p>
        </w:tc>
        <w:tc>
          <w:tcPr>
            <w:tcW w:type="dxa" w:w="1234"/>
          </w:tcPr>
          <w:p>
            <w:r>
              <w:t>HFACS</w:t>
            </w:r>
          </w:p>
        </w:tc>
        <w:tc>
          <w:tcPr>
            <w:tcW w:type="dxa" w:w="1234"/>
          </w:tcPr>
          <w:p>
            <w:r>
              <w:t>No</w:t>
            </w:r>
          </w:p>
        </w:tc>
        <w:tc>
          <w:tcPr>
            <w:tcW w:type="dxa" w:w="1234"/>
          </w:tcPr>
          <w:p>
            <w:r>
              <w:t>Expert-labeled dataset</w:t>
            </w:r>
          </w:p>
        </w:tc>
        <w:tc>
          <w:tcPr>
            <w:tcW w:type="dxa" w:w="1234"/>
          </w:tcPr>
          <w:p>
            <w:r>
              <w:t>No</w:t>
            </w:r>
          </w:p>
        </w:tc>
      </w:tr>
      <w:tr>
        <w:tc>
          <w:tcPr>
            <w:tcW w:type="dxa" w:w="1234"/>
          </w:tcPr>
          <w:p>
            <w:r>
              <w:t>Kim and Han (2024)</w:t>
            </w:r>
          </w:p>
        </w:tc>
        <w:tc>
          <w:tcPr>
            <w:tcW w:type="dxa" w:w="1234"/>
          </w:tcPr>
          <w:p>
            <w:r>
              <w:t>Construction (KR)</w:t>
            </w:r>
          </w:p>
        </w:tc>
        <w:tc>
          <w:tcPr>
            <w:tcW w:type="dxa" w:w="1234"/>
          </w:tcPr>
          <w:p>
            <w:r>
              <w:t>Claude 3.5</w:t>
            </w:r>
          </w:p>
        </w:tc>
        <w:tc>
          <w:tcPr>
            <w:tcW w:type="dxa" w:w="1234"/>
          </w:tcPr>
          <w:p>
            <w:r>
              <w:t>HFACS</w:t>
            </w:r>
          </w:p>
        </w:tc>
        <w:tc>
          <w:tcPr>
            <w:tcW w:type="dxa" w:w="1234"/>
          </w:tcPr>
          <w:p>
            <w:r>
              <w:t>No</w:t>
            </w:r>
          </w:p>
        </w:tc>
        <w:tc>
          <w:tcPr>
            <w:tcW w:type="dxa" w:w="1234"/>
          </w:tcPr>
          <w:p>
            <w:r>
              <w:t>No</w:t>
            </w:r>
          </w:p>
        </w:tc>
        <w:tc>
          <w:tcPr>
            <w:tcW w:type="dxa" w:w="1234"/>
          </w:tcPr>
          <w:p>
            <w:r>
              <w:t>No</w:t>
            </w:r>
          </w:p>
        </w:tc>
      </w:tr>
      <w:tr>
        <w:tc>
          <w:tcPr>
            <w:tcW w:type="dxa" w:w="1234"/>
          </w:tcPr>
          <w:p>
            <w:r>
              <w:t>Ahmadi et al. (2024)</w:t>
            </w:r>
          </w:p>
        </w:tc>
        <w:tc>
          <w:tcPr>
            <w:tcW w:type="dxa" w:w="1234"/>
          </w:tcPr>
          <w:p>
            <w:r>
              <w:t>Construction (US)</w:t>
            </w:r>
          </w:p>
        </w:tc>
        <w:tc>
          <w:tcPr>
            <w:tcW w:type="dxa" w:w="1234"/>
          </w:tcPr>
          <w:p>
            <w:r>
              <w:t>GPT-4.0</w:t>
            </w:r>
          </w:p>
        </w:tc>
        <w:tc>
          <w:tcPr>
            <w:tcW w:type="dxa" w:w="1234"/>
          </w:tcPr>
          <w:p>
            <w:r>
              <w:t>None</w:t>
            </w:r>
          </w:p>
        </w:tc>
        <w:tc>
          <w:tcPr>
            <w:tcW w:type="dxa" w:w="1234"/>
          </w:tcPr>
          <w:p>
            <w:r>
              <w:t>No</w:t>
            </w:r>
          </w:p>
        </w:tc>
        <w:tc>
          <w:tcPr>
            <w:tcW w:type="dxa" w:w="1234"/>
          </w:tcPr>
          <w:p>
            <w:r>
              <w:t>No</w:t>
            </w:r>
          </w:p>
        </w:tc>
        <w:tc>
          <w:tcPr>
            <w:tcW w:type="dxa" w:w="1234"/>
          </w:tcPr>
          <w:p>
            <w:r>
              <w:t>No</w:t>
            </w:r>
          </w:p>
        </w:tc>
      </w:tr>
      <w:tr>
        <w:tc>
          <w:tcPr>
            <w:tcW w:type="dxa" w:w="1234"/>
          </w:tcPr>
          <w:p>
            <w:r>
              <w:t>Liu and Luo (2025)</w:t>
            </w:r>
          </w:p>
        </w:tc>
        <w:tc>
          <w:tcPr>
            <w:tcW w:type="dxa" w:w="1234"/>
          </w:tcPr>
          <w:p>
            <w:r>
              <w:t>Construction</w:t>
            </w:r>
          </w:p>
        </w:tc>
        <w:tc>
          <w:tcPr>
            <w:tcW w:type="dxa" w:w="1234"/>
          </w:tcPr>
          <w:p>
            <w:r>
              <w:t>GPT-4o</w:t>
            </w:r>
          </w:p>
        </w:tc>
        <w:tc>
          <w:tcPr>
            <w:tcW w:type="dxa" w:w="1234"/>
          </w:tcPr>
          <w:p>
            <w:r>
              <w:t>Accimap</w:t>
            </w:r>
          </w:p>
        </w:tc>
        <w:tc>
          <w:tcPr>
            <w:tcW w:type="dxa" w:w="1234"/>
          </w:tcPr>
          <w:p>
            <w:r>
              <w:t>No</w:t>
            </w:r>
          </w:p>
        </w:tc>
        <w:tc>
          <w:tcPr>
            <w:tcW w:type="dxa" w:w="1234"/>
          </w:tcPr>
          <w:p>
            <w:r>
              <w:t>No</w:t>
            </w:r>
          </w:p>
        </w:tc>
        <w:tc>
          <w:tcPr>
            <w:tcW w:type="dxa" w:w="1234"/>
          </w:tcPr>
          <w:p>
            <w:r>
              <w:t>No</w:t>
            </w:r>
          </w:p>
        </w:tc>
      </w:tr>
      <w:tr>
        <w:tc>
          <w:tcPr>
            <w:tcW w:type="dxa" w:w="1234"/>
          </w:tcPr>
          <w:p>
            <w:r>
              <w:t>Jiang et al. (2026)</w:t>
            </w:r>
          </w:p>
        </w:tc>
        <w:tc>
          <w:tcPr>
            <w:tcW w:type="dxa" w:w="1234"/>
          </w:tcPr>
          <w:p>
            <w:r>
              <w:t>Coal mining</w:t>
            </w:r>
          </w:p>
        </w:tc>
        <w:tc>
          <w:tcPr>
            <w:tcW w:type="dxa" w:w="1234"/>
          </w:tcPr>
          <w:p>
            <w:r>
              <w:t>LLM</w:t>
            </w:r>
          </w:p>
        </w:tc>
        <w:tc>
          <w:tcPr>
            <w:tcW w:type="dxa" w:w="1234"/>
          </w:tcPr>
          <w:p>
            <w:r>
              <w:t>Custom ontology</w:t>
            </w:r>
          </w:p>
        </w:tc>
        <w:tc>
          <w:tcPr>
            <w:tcW w:type="dxa" w:w="1234"/>
          </w:tcPr>
          <w:p>
            <w:r>
              <w:t>No</w:t>
            </w:r>
          </w:p>
        </w:tc>
        <w:tc>
          <w:tcPr>
            <w:tcW w:type="dxa" w:w="1234"/>
          </w:tcPr>
          <w:p>
            <w:r>
              <w:t>No</w:t>
            </w:r>
          </w:p>
        </w:tc>
        <w:tc>
          <w:tcPr>
            <w:tcW w:type="dxa" w:w="1234"/>
          </w:tcPr>
          <w:p>
            <w:r>
              <w:t>Visualization</w:t>
            </w:r>
          </w:p>
        </w:tc>
      </w:tr>
      <w:tr>
        <w:tc>
          <w:tcPr>
            <w:tcW w:type="dxa" w:w="1234"/>
          </w:tcPr>
          <w:p>
            <w:r>
              <w:t>CAIEMS (this work)</w:t>
            </w:r>
          </w:p>
        </w:tc>
        <w:tc>
          <w:tcPr>
            <w:tcW w:type="dxa" w:w="1234"/>
          </w:tcPr>
          <w:p>
            <w:r>
              <w:t>Construction (CN)</w:t>
            </w:r>
          </w:p>
        </w:tc>
        <w:tc>
          <w:tcPr>
            <w:tcW w:type="dxa" w:w="1234"/>
          </w:tcPr>
          <w:p>
            <w:r>
              <w:t>DeepSeek V4</w:t>
            </w:r>
          </w:p>
        </w:tc>
        <w:tc>
          <w:tcPr>
            <w:tcW w:type="dxa" w:w="1234"/>
          </w:tcPr>
          <w:p>
            <w:r>
              <w:t>CAICS (operational)</w:t>
            </w:r>
          </w:p>
        </w:tc>
        <w:tc>
          <w:tcPr>
            <w:tcW w:type="dxa" w:w="1234"/>
          </w:tcPr>
          <w:p>
            <w:r>
              <w:t>Tiered</w:t>
            </w:r>
          </w:p>
        </w:tc>
        <w:tc>
          <w:tcPr>
            <w:tcW w:type="dxa" w:w="1234"/>
          </w:tcPr>
          <w:p>
            <w:r>
              <w:t>Partial (100-record subset)</w:t>
            </w:r>
          </w:p>
        </w:tc>
        <w:tc>
          <w:tcPr>
            <w:tcW w:type="dxa" w:w="1234"/>
          </w:tcPr>
          <w:p>
            <w:r>
              <w:t>Web + API</w:t>
            </w:r>
          </w:p>
        </w:tc>
      </w:tr>
    </w:tbl>
    <w:p>
      <w:pPr>
        <w:pStyle w:val="Heading2"/>
      </w:pPr>
      <w:r>
        <w:rPr>
          <w:color w:val="000000"/>
        </w:rPr>
        <w:t>5.3 Limitations</w:t>
      </w:r>
    </w:p>
    <w:p>
      <w:r>
        <w:t>We list the limitations that bound the main conclusions, organized by their severity.</w:t>
      </w:r>
    </w:p>
    <w:p>
      <w:r>
        <w:t xml:space="preserve">(1) </w:t>
      </w:r>
      <w:r>
        <w:rPr>
          <w:i/>
        </w:rPr>
        <w:t>Reference independence.</w:t>
      </w:r>
      <w:r>
        <w:t xml:space="preserv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t xml:space="preserve">(2) </w:t>
      </w:r>
      <w:r>
        <w:rPr>
          <w:i/>
        </w:rPr>
        <w:t>Development–test overlap.</w:t>
      </w:r>
      <w:r>
        <w:t xml:space="preserve">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t xml:space="preserve">(3) </w:t>
      </w:r>
      <w:r>
        <w:rPr>
          <w:i/>
        </w:rPr>
        <w:t>Prompt-phrasing inference.</w:t>
      </w:r>
      <w:r>
        <w:t xml:space="preserv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t xml:space="preserve">(4) </w:t>
      </w:r>
      <w:r>
        <w:rPr>
          <w:i/>
        </w:rPr>
        <w:t>Model comparison conditions.</w:t>
      </w:r>
      <w:r>
        <w:t xml:space="preserve">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t xml:space="preserve">(5) </w:t>
      </w:r>
      <w:r>
        <w:rPr>
          <w:i/>
        </w:rPr>
        <w:t>Agreement scope.</w:t>
      </w:r>
      <w:r>
        <w:t xml:space="preserve"> The agreement study covers one annotator, six of 33 fields, and no independent arbitration; the causal codes lack a large-sample agreement study. The results support effort reduction on basic fields under supervision, not expert substitution.</w:t>
      </w:r>
    </w:p>
    <w:p>
      <w:r>
        <w:t xml:space="preserve">(6) </w:t>
      </w:r>
      <w:r>
        <w:rPr>
          <w:i/>
        </w:rPr>
        <w:t>Database audit.</w:t>
      </w:r>
      <w:r>
        <w:t xml:space="preserve">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t xml:space="preserve">(7) </w:t>
      </w:r>
      <w:r>
        <w:rPr>
          <w:i/>
        </w:rPr>
        <w:t>Data governance.</w:t>
      </w:r>
      <w:r>
        <w:t xml:space="preserv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t xml:space="preserve">(8) </w:t>
      </w:r>
      <w:r>
        <w:rPr>
          <w:i/>
        </w:rPr>
        <w:t>Reproducibility.</w:t>
      </w:r>
      <w:r>
        <w:t xml:space="preserve">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pPr>
        <w:pStyle w:val="Heading1"/>
      </w:pPr>
      <w:r>
        <w:rPr>
          <w:color w:val="000000"/>
          <w:sz w:val="28"/>
        </w:rPr>
        <w:t>6. Conclusion</w:t>
      </w:r>
    </w:p>
    <w:p>
      <w: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pPr>
        <w:pStyle w:val="Heading1"/>
      </w:pPr>
      <w:r>
        <w:rPr>
          <w:color w:val="000000"/>
          <w:sz w:val="28"/>
        </w:rPr>
        <w:t>7. Declarations</w:t>
      </w:r>
    </w:p>
    <w:p>
      <w:r>
        <w:rPr>
          <w:b/>
        </w:rPr>
        <w:t>Data availability.</w:t>
      </w:r>
      <w:r>
        <w:t xml:space="preserve">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b/>
        </w:rPr>
        <w:t>Code availability.</w:t>
      </w:r>
      <w:r>
        <w:t xml:space="preserve"> The pipeline, evaluation scripts, and experiment runners will be released under an open-source license together with the data upon publication; a minimal reproduction package is available from the authors on request during review.</w:t>
      </w:r>
    </w:p>
    <w:p>
      <w:r>
        <w:rPr>
          <w:b/>
        </w:rPr>
        <w:t>Ethics and data governance.</w:t>
      </w:r>
      <w:r>
        <w:t xml:space="preserv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b/>
        </w:rPr>
        <w:t>CRediT author statement.</w:t>
      </w:r>
      <w:r>
        <w:t xml:space="preserve"> Tianhao Sun (Nanjing Tech University): Conceptualization, Methodology, Software, Data Curation, Formal Analysis, Investigation, Writing — Original Draft. [Supervisor name] (Nanjing Tech University): Conceptualization, Supervision, Validation, Writing — Review &amp; Editing.</w:t>
      </w:r>
    </w:p>
    <w:p>
      <w:r>
        <w:rPr>
          <w:b/>
        </w:rPr>
        <w:t>Declaration of competing interest.</w:t>
      </w:r>
      <w:r>
        <w:t xml:space="preserve"> The authors declare no competing interests.</w:t>
      </w:r>
    </w:p>
    <w:p>
      <w:r>
        <w:rPr>
          <w:b/>
        </w:rPr>
        <w:t>Funding.</w:t>
      </w:r>
      <w:r>
        <w:t xml:space="preserve"> This research received no specific grant from funding agencies in the public, commercial, or not-for-profit sectors.</w:t>
      </w:r>
    </w:p>
    <w:p>
      <w:r>
        <w:rPr>
          <w:b/>
        </w:rPr>
        <w:t>Use of AI tools.</w:t>
      </w:r>
      <w:r>
        <w:t xml:space="preserve">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rPr>
          <w:color w:val="000000"/>
          <w:sz w:val="28"/>
        </w:rPr>
        <w:t>References</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 https://doi.org/10.26599/jic.2024.9180039</w:t>
      </w:r>
    </w:p>
    <w:p>
      <w:r>
        <w:t>Ayhan, B.U., Tokdemir, O.B. (2019). Predicting the outcome of construction incidents. Safety Science, 113, 91–104. https://doi.org/10.1016/j.ssci.2018.11.001</w:t>
      </w:r>
    </w:p>
    <w:p>
      <w:r>
        <w:t>Brown, T., Mann, B., Ryder, N., et al. (2020). Language Models are Few-Shot Learners. Advances in Neural Information Processing Systems, 33, 1877–1901.</w:t>
      </w:r>
    </w:p>
    <w:p>
      <w:r>
        <w:t>Devlin, J., Chang, M.-W., Lee, K., Toutanova, K. (2019). BERT: Pre-training of Deep Bidirectional Transformers for Language Understanding. In Proceedings of NAACL-HLT 2019, 4171–4186.</w:t>
      </w:r>
    </w:p>
    <w:p>
      <w:r>
        <w:t>Huang, Y., Yan, R., Zhang, Z. (2026). Automated knowledge extraction from marine accident reports using large language models: Graph construction and evaluation. Ocean &amp; Coastal Management, 272, 108015. https://doi.org/10.1016/j.ocecoaman.2025.108015</w:t>
      </w:r>
    </w:p>
    <w:p>
      <w:r>
        <w:t>Jiang, Y., Nie, B., Wang, J., Peng, P., Wang, L. (2026). Large language model-driven knowledge graph and intelligent analysis for coal mine accidents. Measurement, 277, 121558. https://doi.org/10.1016/j.measurement.2026.121558</w:t>
      </w:r>
    </w:p>
    <w:p>
      <w:r>
        <w:t>Kim, D., Han, S. (2024). Systemic Analysis of Fall Accidents Caused by Worker Inattention at Construction Sites: An Integrated Approach using HFACS and LLM. KIBIM Magazine, 14(4), 23–34. https://doi.org/10.13161/kibim.2024.14.4.023</w:t>
      </w:r>
    </w:p>
    <w:p>
      <w:r>
        <w:t>Kojima, T., Gu, S.S., Reid, M., Matsuo, Y., Iwasawa, Y. (2022). Large Language Models are Zero-Shot Reasoners. Advances in Neural Information Processing Systems, 35, 22199–22213.</w:t>
      </w:r>
    </w:p>
    <w:p>
      <w:r>
        <w:t>Kong, F., Ahn, S. (2024). Use of Knowledge Graphs for Construction Safety Management: A Systematic Literature Review. Information, 15(7), 390. https://doi.org/10.3390/info15070390</w:t>
      </w:r>
    </w:p>
    <w:p>
      <w:r>
        <w:t>Liu, Q., Ding, Y., Luo, X. (2025b). Automated knowledge graph-based risk assessment for fall-from-height accidents in construction. Automation in Construction, 179, 106482. https://doi.org/10.1016/j.autcon.2025.106482</w:t>
      </w:r>
    </w:p>
    <w:p>
      <w:r>
        <w:t>Liu, Q., Li, F., Ng, K.K.H., Han, J., Feng, S. (2025a). Accident investigation via LLMs reasoning: HFACS-guided Chain-of-Thoughts enhance general aviation safety. Expert Systems with Applications, 269, 126422. https://doi.org/10.1016/j.eswa.2025.126422</w:t>
      </w:r>
    </w:p>
    <w:p>
      <w:r>
        <w:t>Liu, Q., Luo, X. (2025). Large language model-based knowledge graph construction of unstructured accident reports to improve construction safety. EG-ICE 2025. https://doi.org/10.17868/strath.00093269</w:t>
      </w:r>
    </w:p>
    <w:p>
      <w:r>
        <w:t>Onuchukwu, I.S., Gholizadeh, P., Liko, G., Esmaeili, B. (2024). Nature of Occupational Incidents among Roofing Contractors: A Data Mining Approach. Buildings, 14(3), 595. https://doi.org/10.3390/buildings14030595</w:t>
      </w:r>
    </w:p>
    <w:p>
      <w:r>
        <w:t>OpenAI (2023). GPT-4 Technical Report. arXiv:2303.08774.</w:t>
      </w:r>
    </w:p>
    <w:p>
      <w:r>
        <w:t>Rafindadi, A.D., Shafiq, N., Othman, I., et al. (2023). Data mining of the essential causes of different types of fatal construction accidents. Heliyon, 9(2), e13389. https://doi.org/10.1016/j.heliyon.2023.e13389</w:t>
      </w:r>
    </w:p>
    <w:p>
      <w:r>
        <w:t>Shappell, S.A., Wiegmann, D.A. (2000). The Human Factors Analysis and Classification System–HFACS. Report DOT/FAA/AM-00/7, Office of Aviation Medicine, Federal Aviation Administration.</w:t>
      </w:r>
    </w:p>
    <w:p>
      <w:r>
        <w:t>Shi, D., Gan, S., Zurada, J., Guan, J., Wang, F., Weichbroth, P. (2025). A multi-model approach to construction site safety: Fault trees, Bayesian networks, and ontology reasoning. Expert Systems with Applications, 288, 127817. https://doi.org/10.1016/j.eswa.2025.127817</w:t>
      </w:r>
    </w:p>
    <w:p>
      <w:r>
        <w:t>Togan, V., Mostofi, F., Tokdemir, O.B., Kadioglu, F. (2025). Efficient Management of Safety Documents Using Text-Based Analytics to Extract Safety Attributes From Construction Accident Reports. IEEE Access, 13, 99758–99777. https://doi.org/10.1109/ACCESS.2025.3576442</w:t>
      </w:r>
    </w:p>
    <w:p>
      <w:r>
        <w:t>Wang, X., Wei, J., Schuurmans, D., et al. (2023). Self-Consistency Improves Chain of Thought Reasoning in Language Models. In Proceedings of ICLR 2023.</w:t>
      </w:r>
    </w:p>
    <w:p>
      <w:r>
        <w:t>Wei, J., Wang, X., Schuurmans, D., et al. (2022). Chain-of-Thought Prompting Elicits Reasoning in Large Language Models. Advances in Neural Information Processing Systems, 35, 24824–24837.</w:t>
      </w:r>
    </w:p>
    <w:p>
      <w:r>
        <w:t>Xiao, X., Chen, P., Qi, B., et al. (2026). KRAIL: A knowledge-driven framework for human reliability analysis integrating IDHEAS-DATA and large language models. Reliability Engineering &amp; System Safety, 265, 111585. https://doi.org/10.1016/j.ress.2025.111585</w:t>
      </w:r>
    </w:p>
    <w:p>
      <w:r>
        <w:t>Xuecai, X., Gui, F., Shifei, S., et al. (2024). Accident case data-accident causation model driven safety training method. Process Safety and Environmental Protection, 182, 1208–1226. https://doi.org/10.1016/j.psep.2023.12.042</w:t>
      </w:r>
    </w:p>
    <w:p>
      <w:r>
        <w:t>Yan, Y., Li, B., Lodewijks, G. (2025). UAV Accident Forensics via HFACS-LLM Reasoning: Low-Altitude Safety Insights. Drones, 9(10), 704. https://doi.org/10.3390/drones9100704</w:t>
      </w:r>
    </w:p>
    <w:p>
      <w:r>
        <w:t>Yang, J., Park, S. (2025). LLM-Assisted Knowledge Graph Construction for Managing Road Accident Information From News Articles. IEEE Access, 13, 217846–217865. https://doi.org/10.1109/ACCESS.2025.3648842</w:t>
      </w:r>
    </w:p>
    <w:p>
      <w:r>
        <w:t>Zhang, L., Hou, Y., Ren, F. (2025a). AIR Agent—A GPT-Based Subway Construction Accident Investigation Report Analysis Chatbot. Buildings, 15(4), 527. https://doi.org/10.3390/buildings15040527</w:t>
      </w:r>
    </w:p>
    <w:p>
      <w:r>
        <w:t>Zhang, J., Zhang, W., Wei, Q., Zhong, H., Miao, Y. (2025b). GRAG-ProSafe QAS: Graph retrieval-augmented generation for process production safety intelligent question and answer system. Expert Systems with Applications. https://doi.org/10.1016/j.eswa.2025.129947</w:t>
      </w:r>
    </w:p>
    <w:p>
      <w:r>
        <w:t>Zhou, D., Schärli, N., Hou, L., et al. (2023). Least-to-Most Prompting Enables Complex Reasoning in Large Language Models. In Proceedings of ICLR 2023.</w:t>
      </w:r>
    </w:p>
    <w:p>
      <w:pPr>
        <w:pStyle w:val="Heading1"/>
      </w:pPr>
      <w:r>
        <w:rPr>
          <w:color w:val="000000"/>
          <w:sz w:val="28"/>
        </w:rPr>
        <w:t>Appendix A. Prompt Templates</w:t>
      </w:r>
    </w:p>
    <w:p>
      <w:r>
        <w:t>The six prompting strategies are summarized below; verbatim prompts are included in the reproduction package.</w:t>
      </w:r>
    </w:p>
    <w:p>
      <w:r>
        <w:rPr>
          <w:b/>
        </w:rPr>
        <w:t>A.1 S0 Basic Zero-Shot</w:t>
      </w:r>
      <w:r>
        <w:t>: the CAICS taxonomy (nineteen codes with definitions) and the JSON output format, with no reasoning guidance.</w:t>
      </w:r>
    </w:p>
    <w:p>
      <w:r>
        <w:rPr>
          <w:b/>
        </w:rPr>
        <w:t>A.2 S1 Basic Few-Shot</w:t>
      </w:r>
      <w:r>
        <w:t>: S0 plus three expert-annotated examples (text → codes with evidence), drawn from the silver standard.</w:t>
      </w:r>
    </w:p>
    <w:p>
      <w:r>
        <w:rPr>
          <w:b/>
        </w:rPr>
        <w:t>A.3 S2 Auto-CoT</w:t>
      </w:r>
      <w:r>
        <w:t>: S0 plus an instruction to self-organize reasoning along the M→F→T→H→C causal chain before coding.</w:t>
      </w:r>
    </w:p>
    <w:p>
      <w:r>
        <w:rPr>
          <w:b/>
        </w:rPr>
        <w:t>A.4 S3 Plan-and-Solve</w:t>
      </w:r>
      <w:r>
        <w:t>: S0 plus an instruction to first draft an analysis plan, then execute it.</w:t>
      </w:r>
    </w:p>
    <w:p>
      <w:r>
        <w:rPr>
          <w:b/>
        </w:rPr>
        <w:t>A.5 S4 CAICS-CoT</w:t>
      </w:r>
      <w:r>
        <w: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b/>
        </w:rPr>
        <w:t>A.6 S5 CAICS-CoT+</w:t>
      </w:r>
      <w:r>
        <w:t>: five independent per-layer API calls with inter-layer summary injection, plus a final aggregation call.</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生成并插入（Figure 1–6），图中分布数字随主库现读；表 2（5 层 19 类操作定义）已按生产提示词补全，定义与落库类名逐条核对一致，表注给出实测的各层推断占比。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