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 xml:space="preserve">Let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denote a corpus of unstructured accident narratives (median 517 characters in our corpus). The pipeline transforms each </w:t>
      </w:r>
      <w:r>
        <w:rPr>
          <w:i/>
        </w:rPr>
        <w:t>t</w:t>
      </w:r>
      <w:r>
        <w:rPr>
          <w:i/>
          <w:vertAlign w:val="subscript"/>
        </w:rPr>
        <w:t>i</w:t>
      </w:r>
      <w:r>
        <w:t xml:space="preserve"> into a structured record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 xml:space="preserve">: a basic information vector </w:t>
      </w:r>
      <w:r>
        <w:rPr>
          <w:i/>
        </w:rPr>
        <w:t>b</w:t>
      </w:r>
      <w:r>
        <w:rPr>
          <w:i/>
          <w:vertAlign w:val="subscript"/>
        </w:rPr>
        <w:t>i</w:t>
      </w:r>
      <w:r>
        <w:t xml:space="preserve"> covering 33 pre-defined fields, and a causal annotation set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 xml:space="preserve">, where </w:t>
      </w:r>
      <w:r>
        <w:rPr>
          <w:i/>
        </w:rPr>
        <w:t>x</w:t>
      </w:r>
      <w:r>
        <w:rPr>
          <w:i/>
          <w:vertAlign w:val="subscript"/>
        </w:rPr>
        <w:t>ij</w:t>
      </w:r>
      <w:r>
        <w:t xml:space="preserve"> is a causal code from the CAICS scheme, </w:t>
      </w:r>
      <w:r>
        <w:rPr>
          <w:i/>
        </w:rPr>
        <w:t>e</w:t>
      </w:r>
      <w:r>
        <w:rPr>
          <w:i/>
          <w:vertAlign w:val="subscript"/>
        </w:rPr>
        <w:t>ij</w:t>
      </w:r>
      <w:r>
        <w:t xml:space="preserve"> is the supporting text, </w:t>
      </w:r>
      <w:r>
        <w:rPr>
          <w:i/>
        </w:rPr>
        <w:t>ι</w:t>
      </w:r>
      <w:r>
        <w:rPr>
          <w:i/>
          <w:vertAlign w:val="subscript"/>
        </w:rPr>
        <w:t>ij</w:t>
      </w:r>
      <w:r>
        <w:t xml:space="preserve"> is the inference chain, and </w:t>
      </w:r>
      <w:r>
        <w:rPr>
          <w:i/>
        </w:rPr>
        <w:t>q</w:t>
      </w:r>
      <w:r>
        <w:rPr>
          <w:i/>
          <w:vertAlign w:val="subscript"/>
        </w:rPr>
        <w:t>ij</w:t>
      </w:r>
      <w:r>
        <w:rPr>
          <w:i/>
        </w:rPr>
        <w:t xml:space="preserve"> ∈ {explicit, inferred, prior}</w:t>
      </w:r>
      <w:r>
        <w:t xml:space="preserve"> is the evidence tier.</w:t>
      </w:r>
    </w:p>
    <w:p>
      <w:r>
        <w:t>The three tiers carry different epistemic commitments, and the database stores and reports them separately:</w:t>
      </w:r>
    </w:p>
    <w:p>
      <w:pPr>
        <w:pStyle w:val="ListBullet"/>
      </w:pPr>
      <w:r>
        <w:rPr>
          <w:b/>
        </w:rPr>
        <w:t>explicit</w:t>
      </w:r>
      <w:r>
        <w:t xml:space="preserve">: the source text contains a passage that directly supports the code; </w:t>
      </w:r>
      <w:r>
        <w:rPr>
          <w:i/>
        </w:rPr>
        <w:t>e</w:t>
      </w:r>
      <w:r>
        <w:rPr>
          <w:i/>
          <w:vertAlign w:val="subscript"/>
        </w:rPr>
        <w:t>ij</w:t>
      </w:r>
      <w:r>
        <w:t xml:space="preserve">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pPr>
        <w:pStyle w:val="Heading3"/>
      </w:pPr>
      <w:r>
        <w:rPr>
          <w:color w:val="000000"/>
        </w:rPr>
        <w:t>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 The difference is not confined to record counts: the digitization track accounts for 6,270 of the 16,323 causal annotations (38.4%) and 6,081 of the 14,784 verbatim-evidence annotations (41.1%).</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pPr>
        <w:pStyle w:val="Heading3"/>
      </w:pPr>
      <w:r>
        <w:rPr>
          <w:color w:val="000000"/>
        </w:rPr>
        <w:t>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pPr>
        <w:pStyle w:val="Heading3"/>
      </w:pPr>
      <w:r>
        <w:rPr>
          <w:color w:val="000000"/>
        </w:rPr>
        <w:t>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pPr>
        <w:pStyle w:val="Heading3"/>
      </w:pPr>
      <w:r>
        <w:rPr>
          <w:color w:val="000000"/>
        </w:rPr>
        <w:t>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Code</w:t>
            </w:r>
          </w:p>
        </w:tc>
        <w:tc>
          <w:tcPr>
            <w:tcW w:type="dxa" w:w="1728"/>
          </w:tcPr>
          <w:p>
            <w:r>
              <w:rPr>
                <w:b/>
              </w:rPr>
              <w:t>Category</w:t>
            </w:r>
          </w:p>
        </w:tc>
        <w:tc>
          <w:tcPr>
            <w:tcW w:type="dxa" w:w="1728"/>
          </w:tcPr>
          <w:p>
            <w:r>
              <w:rPr>
                <w:b/>
              </w:rPr>
              <w:t>Operational definition</w:t>
            </w:r>
          </w:p>
        </w:tc>
        <w:tc>
          <w:tcPr>
            <w:tcW w:type="dxa" w:w="1728"/>
          </w:tcPr>
          <w:p>
            <w:r>
              <w:rPr>
                <w:b/>
              </w:rPr>
              <w:t>Typical evidence keywords</w:t>
            </w:r>
          </w:p>
        </w:tc>
      </w:tr>
      <w:tr>
        <w:tc>
          <w:tcPr>
            <w:tcW w:type="dxa" w:w="1728"/>
          </w:tcPr>
          <w:p>
            <w:r>
              <w:t>M — Management foundation</w:t>
            </w:r>
          </w:p>
        </w:tc>
        <w:tc>
          <w:tcPr>
            <w:tcW w:type="dxa" w:w="1728"/>
          </w:tcPr>
          <w:p>
            <w:r>
              <w:t>M1</w:t>
            </w:r>
          </w:p>
        </w:tc>
        <w:tc>
          <w:tcPr>
            <w:tcW w:type="dxa" w:w="1728"/>
          </w:tcPr>
          <w:p>
            <w:r>
              <w:t>Deficient supervision</w:t>
            </w:r>
          </w:p>
        </w:tc>
        <w:tc>
          <w:tcPr>
            <w:tcW w:type="dxa" w:w="1728"/>
          </w:tcPr>
          <w:p>
            <w:r>
              <w:t>No competent supervisor present, or supervision failed to detect and halt an unsafe state</w:t>
            </w:r>
          </w:p>
        </w:tc>
        <w:tc>
          <w:tcPr>
            <w:tcW w:type="dxa" w:w="1728"/>
          </w:tcPr>
          <w:p>
            <w:r>
              <w:t>unsupervised work; supervisor absent; no on-site intervention</w:t>
            </w:r>
          </w:p>
        </w:tc>
      </w:tr>
      <w:tr>
        <w:tc>
          <w:tcPr>
            <w:tcW w:type="dxa" w:w="1728"/>
          </w:tcPr>
          <w:p>
            <w:r/>
          </w:p>
        </w:tc>
        <w:tc>
          <w:tcPr>
            <w:tcW w:type="dxa" w:w="1728"/>
          </w:tcPr>
          <w:p>
            <w:r>
              <w:t>M2</w:t>
            </w:r>
          </w:p>
        </w:tc>
        <w:tc>
          <w:tcPr>
            <w:tcW w:type="dxa" w:w="1728"/>
          </w:tcPr>
          <w:p>
            <w:r>
              <w:t>Hazard inspection failure</w:t>
            </w:r>
          </w:p>
        </w:tc>
        <w:tc>
          <w:tcPr>
            <w:tcW w:type="dxa" w:w="1728"/>
          </w:tcPr>
          <w:p>
            <w:r>
              <w:t>Hazards not inspected, not rectified, or allowed to persist over time</w:t>
            </w:r>
          </w:p>
        </w:tc>
        <w:tc>
          <w:tcPr>
            <w:tcW w:type="dxa" w:w="1728"/>
          </w:tcPr>
          <w:p>
            <w:r>
              <w:t>hazard left unrectified; perfunctory inspection; repeated reports ignored</w:t>
            </w:r>
          </w:p>
        </w:tc>
      </w:tr>
      <w:tr>
        <w:tc>
          <w:tcPr>
            <w:tcW w:type="dxa" w:w="1728"/>
          </w:tcPr>
          <w:p>
            <w:r/>
          </w:p>
        </w:tc>
        <w:tc>
          <w:tcPr>
            <w:tcW w:type="dxa" w:w="1728"/>
          </w:tcPr>
          <w:p>
            <w:r>
              <w:t>M3</w:t>
            </w:r>
          </w:p>
        </w:tc>
        <w:tc>
          <w:tcPr>
            <w:tcW w:type="dxa" w:w="1728"/>
          </w:tcPr>
          <w:p>
            <w:r>
              <w:t>Inadequate safety training</w:t>
            </w:r>
          </w:p>
        </w:tc>
        <w:tc>
          <w:tcPr>
            <w:tcW w:type="dxa" w:w="1728"/>
          </w:tcPr>
          <w:p>
            <w:r>
              <w:t>No induction training or an ineffective safety briefing; workers lacking required safety knowledge</w:t>
            </w:r>
          </w:p>
        </w:tc>
        <w:tc>
          <w:tcPr>
            <w:tcW w:type="dxa" w:w="1728"/>
          </w:tcPr>
          <w:p>
            <w:r>
              <w:t>no three-level education; no pre-shift briefing; procedure unknown to workers</w:t>
            </w:r>
          </w:p>
        </w:tc>
      </w:tr>
      <w:tr>
        <w:tc>
          <w:tcPr>
            <w:tcW w:type="dxa" w:w="1728"/>
          </w:tcPr>
          <w:p>
            <w:r/>
          </w:p>
        </w:tc>
        <w:tc>
          <w:tcPr>
            <w:tcW w:type="dxa" w:w="1728"/>
          </w:tcPr>
          <w:p>
            <w:r>
              <w:t>M4</w:t>
            </w:r>
          </w:p>
        </w:tc>
        <w:tc>
          <w:tcPr>
            <w:tcW w:type="dxa" w:w="1728"/>
          </w:tcPr>
          <w:p>
            <w:r>
              <w:t>Procedural and regulatory gaps</w:t>
            </w:r>
          </w:p>
        </w:tc>
        <w:tc>
          <w:tcPr>
            <w:tcW w:type="dxa" w:w="1728"/>
          </w:tcPr>
          <w:p>
            <w:r>
              <w:t>No safety plan, no emergency plan, or an incomplete site management system</w:t>
            </w:r>
          </w:p>
        </w:tc>
        <w:tc>
          <w:tcPr>
            <w:tcW w:type="dxa" w:w="1728"/>
          </w:tcPr>
          <w:p>
            <w:r>
              <w:t>no special construction scheme; emergency plan missing; rules not established</w:t>
            </w:r>
          </w:p>
        </w:tc>
      </w:tr>
      <w:tr>
        <w:tc>
          <w:tcPr>
            <w:tcW w:type="dxa" w:w="1728"/>
          </w:tcPr>
          <w:p>
            <w:r/>
          </w:p>
        </w:tc>
        <w:tc>
          <w:tcPr>
            <w:tcW w:type="dxa" w:w="1728"/>
          </w:tcPr>
          <w:p>
            <w:r>
              <w:t>M5</w:t>
            </w:r>
          </w:p>
        </w:tc>
        <w:tc>
          <w:tcPr>
            <w:tcW w:type="dxa" w:w="1728"/>
          </w:tcPr>
          <w:p>
            <w:r>
              <w:t>Irregular market conduct</w:t>
            </w:r>
          </w:p>
        </w:tc>
        <w:tc>
          <w:tcPr>
            <w:tcW w:type="dxa" w:w="1728"/>
          </w:tcPr>
          <w:p>
            <w:r>
              <w:t>Contracting without qualification, unlawful subcontracting, delegation, or compressed schedule</w:t>
            </w:r>
          </w:p>
        </w:tc>
        <w:tc>
          <w:tcPr>
            <w:tcW w:type="dxa" w:w="1728"/>
          </w:tcPr>
          <w:p>
            <w:r>
              <w:t>contractor unqualified; illegal subcontracting; schedule compressed</w:t>
            </w:r>
          </w:p>
        </w:tc>
      </w:tr>
      <w:tr>
        <w:tc>
          <w:tcPr>
            <w:tcW w:type="dxa" w:w="1728"/>
          </w:tcPr>
          <w:p>
            <w:r>
              <w:t>F — Protection failure</w:t>
            </w:r>
          </w:p>
        </w:tc>
        <w:tc>
          <w:tcPr>
            <w:tcW w:type="dxa" w:w="1728"/>
          </w:tcPr>
          <w:p>
            <w:r>
              <w:t>F1</w:t>
            </w:r>
          </w:p>
        </w:tc>
        <w:tc>
          <w:tcPr>
            <w:tcW w:type="dxa" w:w="1728"/>
          </w:tcPr>
          <w:p>
            <w:r>
              <w:t>Missing edge and opening protection</w:t>
            </w:r>
          </w:p>
        </w:tc>
        <w:tc>
          <w:tcPr>
            <w:tcW w:type="dxa" w:w="1728"/>
          </w:tcPr>
          <w:p>
            <w:r>
              <w:t>No guardrail, no safety net, an uncovered opening, or an unprotected edge</w:t>
            </w:r>
          </w:p>
        </w:tc>
        <w:tc>
          <w:tcPr>
            <w:tcW w:type="dxa" w:w="1728"/>
          </w:tcPr>
          <w:p>
            <w:r>
              <w:t>no guardrail at the shaft; safety net absent; opening left uncovered</w:t>
            </w:r>
          </w:p>
        </w:tc>
      </w:tr>
      <w:tr>
        <w:tc>
          <w:tcPr>
            <w:tcW w:type="dxa" w:w="1728"/>
          </w:tcPr>
          <w:p>
            <w:r/>
          </w:p>
        </w:tc>
        <w:tc>
          <w:tcPr>
            <w:tcW w:type="dxa" w:w="1728"/>
          </w:tcPr>
          <w:p>
            <w:r>
              <w:t>F2</w:t>
            </w:r>
          </w:p>
        </w:tc>
        <w:tc>
          <w:tcPr>
            <w:tcW w:type="dxa" w:w="1728"/>
          </w:tcPr>
          <w:p>
            <w:r>
              <w:t>Unstable support system</w:t>
            </w:r>
          </w:p>
        </w:tc>
        <w:tc>
          <w:tcPr>
            <w:tcW w:type="dxa" w:w="1728"/>
          </w:tcPr>
          <w:p>
            <w:r>
              <w:t>Formwork or scaffold instability, insufficient shoring, or temporary-structure failure</w:t>
            </w:r>
          </w:p>
        </w:tc>
        <w:tc>
          <w:tcPr>
            <w:tcW w:type="dxa" w:w="1728"/>
          </w:tcPr>
          <w:p>
            <w:r>
              <w:t>formwork support collapsed; scaffold unstable; shoring insufficient</w:t>
            </w:r>
          </w:p>
        </w:tc>
      </w:tr>
      <w:tr>
        <w:tc>
          <w:tcPr>
            <w:tcW w:type="dxa" w:w="1728"/>
          </w:tcPr>
          <w:p>
            <w:r/>
          </w:p>
        </w:tc>
        <w:tc>
          <w:tcPr>
            <w:tcW w:type="dxa" w:w="1728"/>
          </w:tcPr>
          <w:p>
            <w:r>
              <w:t>F3</w:t>
            </w:r>
          </w:p>
        </w:tc>
        <w:tc>
          <w:tcPr>
            <w:tcW w:type="dxa" w:w="1728"/>
          </w:tcPr>
          <w:p>
            <w:r>
              <w:t>Safety device failure</w:t>
            </w:r>
          </w:p>
        </w:tc>
        <w:tc>
          <w:tcPr>
            <w:tcW w:type="dxa" w:w="1728"/>
          </w:tcPr>
          <w:p>
            <w:r>
              <w:t>Limit switches defeated, fall arresters failed, or safety devices damaged or not fitted</w:t>
            </w:r>
          </w:p>
        </w:tc>
        <w:tc>
          <w:tcPr>
            <w:tcW w:type="dxa" w:w="1728"/>
          </w:tcPr>
          <w:p>
            <w:r>
              <w:t>limiter bypassed; arrester failed; device removed</w:t>
            </w:r>
          </w:p>
        </w:tc>
      </w:tr>
      <w:tr>
        <w:tc>
          <w:tcPr>
            <w:tcW w:type="dxa" w:w="1728"/>
          </w:tcPr>
          <w:p>
            <w:r/>
          </w:p>
        </w:tc>
        <w:tc>
          <w:tcPr>
            <w:tcW w:type="dxa" w:w="1728"/>
          </w:tcPr>
          <w:p>
            <w:r>
              <w:t>F4</w:t>
            </w:r>
          </w:p>
        </w:tc>
        <w:tc>
          <w:tcPr>
            <w:tcW w:type="dxa" w:w="1728"/>
          </w:tcPr>
          <w:p>
            <w:r>
              <w:t>Personal protective equipment unused</w:t>
            </w:r>
          </w:p>
        </w:tc>
        <w:tc>
          <w:tcPr>
            <w:tcW w:type="dxa" w:w="1728"/>
          </w:tcPr>
          <w:p>
            <w:r>
              <w:t>Safety harness, helmet, or other personal protective equipment not worn where required</w:t>
            </w:r>
          </w:p>
        </w:tc>
        <w:tc>
          <w:tcPr>
            <w:tcW w:type="dxa" w:w="1728"/>
          </w:tcPr>
          <w:p>
            <w:r>
              <w:t>harness not attached; helmet not worn; PPE absent</w:t>
            </w:r>
          </w:p>
        </w:tc>
      </w:tr>
      <w:tr>
        <w:tc>
          <w:tcPr>
            <w:tcW w:type="dxa" w:w="1728"/>
          </w:tcPr>
          <w:p>
            <w:r>
              <w:t>T — Trigger conditions</w:t>
            </w:r>
          </w:p>
        </w:tc>
        <w:tc>
          <w:tcPr>
            <w:tcW w:type="dxa" w:w="1728"/>
          </w:tcPr>
          <w:p>
            <w:r>
              <w:t>T1</w:t>
            </w:r>
          </w:p>
        </w:tc>
        <w:tc>
          <w:tcPr>
            <w:tcW w:type="dxa" w:w="1728"/>
          </w:tcPr>
          <w:p>
            <w:r>
              <w:t>Equipment and machinery failure</w:t>
            </w:r>
          </w:p>
        </w:tc>
        <w:tc>
          <w:tcPr>
            <w:tcW w:type="dxa" w:w="1728"/>
          </w:tcPr>
          <w:p>
            <w:r>
              <w:t>Equipment breakdown, wire-rope failure, mechanical fault, or brake failure</w:t>
            </w:r>
          </w:p>
        </w:tc>
        <w:tc>
          <w:tcPr>
            <w:tcW w:type="dxa" w:w="1728"/>
          </w:tcPr>
          <w:p>
            <w:r>
              <w:t>hoist failed; wire rope snapped; brake malfunction</w:t>
            </w:r>
          </w:p>
        </w:tc>
      </w:tr>
      <w:tr>
        <w:tc>
          <w:tcPr>
            <w:tcW w:type="dxa" w:w="1728"/>
          </w:tcPr>
          <w:p>
            <w:r/>
          </w:p>
        </w:tc>
        <w:tc>
          <w:tcPr>
            <w:tcW w:type="dxa" w:w="1728"/>
          </w:tcPr>
          <w:p>
            <w:r>
              <w:t>T2</w:t>
            </w:r>
          </w:p>
        </w:tc>
        <w:tc>
          <w:tcPr>
            <w:tcW w:type="dxa" w:w="1728"/>
          </w:tcPr>
          <w:p>
            <w:r>
              <w:t>Abnormal material state</w:t>
            </w:r>
          </w:p>
        </w:tc>
        <w:tc>
          <w:tcPr>
            <w:tcW w:type="dxa" w:w="1728"/>
          </w:tcPr>
          <w:p>
            <w:r>
              <w:t>Loading beyond design capacity, defective material, or material instability</w:t>
            </w:r>
          </w:p>
        </w:tc>
        <w:tc>
          <w:tcPr>
            <w:tcW w:type="dxa" w:w="1728"/>
          </w:tcPr>
          <w:p>
            <w:r>
              <w:t>stockpile over capacity; material defect; soaked material gained weight</w:t>
            </w:r>
          </w:p>
        </w:tc>
      </w:tr>
      <w:tr>
        <w:tc>
          <w:tcPr>
            <w:tcW w:type="dxa" w:w="1728"/>
          </w:tcPr>
          <w:p>
            <w:r/>
          </w:p>
        </w:tc>
        <w:tc>
          <w:tcPr>
            <w:tcW w:type="dxa" w:w="1728"/>
          </w:tcPr>
          <w:p>
            <w:r>
              <w:t>T3</w:t>
            </w:r>
          </w:p>
        </w:tc>
        <w:tc>
          <w:tcPr>
            <w:tcW w:type="dxa" w:w="1728"/>
          </w:tcPr>
          <w:p>
            <w:r>
              <w:t>Geological or ground change</w:t>
            </w:r>
          </w:p>
        </w:tc>
        <w:tc>
          <w:tcPr>
            <w:tcW w:type="dxa" w:w="1728"/>
          </w:tcPr>
          <w:p>
            <w:r>
              <w:t>Water ingress, slope instability, foundation settlement, or running sand</w:t>
            </w:r>
          </w:p>
        </w:tc>
        <w:tc>
          <w:tcPr>
            <w:tcW w:type="dxa" w:w="1728"/>
          </w:tcPr>
          <w:p>
            <w:r>
              <w:t>sudden water inflow; slope failure; foundation settlement</w:t>
            </w:r>
          </w:p>
        </w:tc>
      </w:tr>
      <w:tr>
        <w:tc>
          <w:tcPr>
            <w:tcW w:type="dxa" w:w="1728"/>
          </w:tcPr>
          <w:p>
            <w:r/>
          </w:p>
        </w:tc>
        <w:tc>
          <w:tcPr>
            <w:tcW w:type="dxa" w:w="1728"/>
          </w:tcPr>
          <w:p>
            <w:r>
              <w:t>T4</w:t>
            </w:r>
          </w:p>
        </w:tc>
        <w:tc>
          <w:tcPr>
            <w:tcW w:type="dxa" w:w="1728"/>
          </w:tcPr>
          <w:p>
            <w:r>
              <w:t>Meteorological or hydrological trigger</w:t>
            </w:r>
          </w:p>
        </w:tc>
        <w:tc>
          <w:tcPr>
            <w:tcW w:type="dxa" w:w="1728"/>
          </w:tcPr>
          <w:p>
            <w:r>
              <w:t>Heavy rain, high wind, ice and snow, lightning, or sustained rainfall</w:t>
            </w:r>
          </w:p>
        </w:tc>
        <w:tc>
          <w:tcPr>
            <w:tcW w:type="dxa" w:w="1728"/>
          </w:tcPr>
          <w:p>
            <w:r>
              <w:t>rainstorm; gale; sustained rainfall; lightning</w:t>
            </w:r>
          </w:p>
        </w:tc>
      </w:tr>
      <w:tr>
        <w:tc>
          <w:tcPr>
            <w:tcW w:type="dxa" w:w="1728"/>
          </w:tcPr>
          <w:p>
            <w:r>
              <w:t>H — Human acts</w:t>
            </w:r>
          </w:p>
        </w:tc>
        <w:tc>
          <w:tcPr>
            <w:tcW w:type="dxa" w:w="1728"/>
          </w:tcPr>
          <w:p>
            <w:r>
              <w:t>H1</w:t>
            </w:r>
          </w:p>
        </w:tc>
        <w:tc>
          <w:tcPr>
            <w:tcW w:type="dxa" w:w="1728"/>
          </w:tcPr>
          <w:p>
            <w:r>
              <w:t>Procedure violation</w:t>
            </w:r>
          </w:p>
        </w:tc>
        <w:tc>
          <w:tcPr>
            <w:tcW w:type="dxa" w:w="1728"/>
          </w:tcPr>
          <w:p>
            <w:r>
              <w:t>Work performed against the approved method, an unauthorized method change, or non-compliant erection</w:t>
            </w:r>
          </w:p>
        </w:tc>
        <w:tc>
          <w:tcPr>
            <w:tcW w:type="dxa" w:w="1728"/>
          </w:tcPr>
          <w:p>
            <w:r>
              <w:t>not built to the scheme; method changed without approval; erected off-code</w:t>
            </w:r>
          </w:p>
        </w:tc>
      </w:tr>
      <w:tr>
        <w:tc>
          <w:tcPr>
            <w:tcW w:type="dxa" w:w="1728"/>
          </w:tcPr>
          <w:p>
            <w:r/>
          </w:p>
        </w:tc>
        <w:tc>
          <w:tcPr>
            <w:tcW w:type="dxa" w:w="1728"/>
          </w:tcPr>
          <w:p>
            <w:r>
              <w:t>H2</w:t>
            </w:r>
          </w:p>
        </w:tc>
        <w:tc>
          <w:tcPr>
            <w:tcW w:type="dxa" w:w="1728"/>
          </w:tcPr>
          <w:p>
            <w:r>
              <w:t>Improper command or decision</w:t>
            </w:r>
          </w:p>
        </w:tc>
        <w:tc>
          <w:tcPr>
            <w:tcW w:type="dxa" w:w="1728"/>
          </w:tcPr>
          <w:p>
            <w:r>
              <w:t>Work ordered or continued despite a known, identified hazard</w:t>
            </w:r>
          </w:p>
        </w:tc>
        <w:tc>
          <w:tcPr>
            <w:tcW w:type="dxa" w:w="1728"/>
          </w:tcPr>
          <w:p>
            <w:r>
              <w:t>ordered to proceed; risk known and work continued</w:t>
            </w:r>
          </w:p>
        </w:tc>
      </w:tr>
      <w:tr>
        <w:tc>
          <w:tcPr>
            <w:tcW w:type="dxa" w:w="1728"/>
          </w:tcPr>
          <w:p>
            <w:r/>
          </w:p>
        </w:tc>
        <w:tc>
          <w:tcPr>
            <w:tcW w:type="dxa" w:w="1728"/>
          </w:tcPr>
          <w:p>
            <w:r>
              <w:t>H3</w:t>
            </w:r>
          </w:p>
        </w:tc>
        <w:tc>
          <w:tcPr>
            <w:tcW w:type="dxa" w:w="1728"/>
          </w:tcPr>
          <w:p>
            <w:r>
              <w:t>Risk-perception failure</w:t>
            </w:r>
          </w:p>
        </w:tc>
        <w:tc>
          <w:tcPr>
            <w:tcW w:type="dxa" w:w="1728"/>
          </w:tcPr>
          <w:p>
            <w:r>
              <w:t>Hazard not recognized, or recognized but misjudged</w:t>
            </w:r>
          </w:p>
        </w:tc>
        <w:tc>
          <w:tcPr>
            <w:tcW w:type="dxa" w:w="1728"/>
          </w:tcPr>
          <w:p>
            <w:r>
              <w:t>hazard not noticed; risk misjudged; inattention</w:t>
            </w:r>
          </w:p>
        </w:tc>
      </w:tr>
      <w:tr>
        <w:tc>
          <w:tcPr>
            <w:tcW w:type="dxa" w:w="1728"/>
          </w:tcPr>
          <w:p>
            <w:r/>
          </w:p>
        </w:tc>
        <w:tc>
          <w:tcPr>
            <w:tcW w:type="dxa" w:w="1728"/>
          </w:tcPr>
          <w:p>
            <w:r>
              <w:t>H4</w:t>
            </w:r>
          </w:p>
        </w:tc>
        <w:tc>
          <w:tcPr>
            <w:tcW w:type="dxa" w:w="1728"/>
          </w:tcPr>
          <w:p>
            <w:r>
              <w:t>Improper emergency behavior</w:t>
            </w:r>
          </w:p>
        </w:tc>
        <w:tc>
          <w:tcPr>
            <w:tcW w:type="dxa" w:w="1728"/>
          </w:tcPr>
          <w:p>
            <w:r>
              <w:t>Unprotected rescue attempts, delayed evacuation, or rescue methods that worsened the outcome</w:t>
            </w:r>
          </w:p>
        </w:tc>
        <w:tc>
          <w:tcPr>
            <w:tcW w:type="dxa" w:w="1728"/>
          </w:tcPr>
          <w:p>
            <w:r>
              <w:t>rescue rushed without protection; wrong rescue method; evacuation delayed</w:t>
            </w:r>
          </w:p>
        </w:tc>
      </w:tr>
      <w:tr>
        <w:tc>
          <w:tcPr>
            <w:tcW w:type="dxa" w:w="1728"/>
          </w:tcPr>
          <w:p>
            <w:r>
              <w:t>C — Consequence amplification</w:t>
            </w:r>
          </w:p>
        </w:tc>
        <w:tc>
          <w:tcPr>
            <w:tcW w:type="dxa" w:w="1728"/>
          </w:tcPr>
          <w:p>
            <w:r>
              <w:t>C1</w:t>
            </w:r>
          </w:p>
        </w:tc>
        <w:tc>
          <w:tcPr>
            <w:tcW w:type="dxa" w:w="1728"/>
          </w:tcPr>
          <w:p>
            <w:r>
              <w:t>Delayed rescue response</w:t>
            </w:r>
          </w:p>
        </w:tc>
        <w:tc>
          <w:tcPr>
            <w:tcW w:type="dxa" w:w="1728"/>
          </w:tcPr>
          <w:p>
            <w:r>
              <w:t>Rescue began late, no emergency plan was in force, or secondary collapse obstructed rescue</w:t>
            </w:r>
          </w:p>
        </w:tc>
        <w:tc>
          <w:tcPr>
            <w:tcW w:type="dxa" w:w="1728"/>
          </w:tcPr>
          <w:p>
            <w:r>
              <w:t>delayed rescue; secondary collapse; no emergency plan in force</w:t>
            </w:r>
          </w:p>
        </w:tc>
      </w:tr>
      <w:tr>
        <w:tc>
          <w:tcPr>
            <w:tcW w:type="dxa" w:w="1728"/>
          </w:tcPr>
          <w:p>
            <w:r/>
          </w:p>
        </w:tc>
        <w:tc>
          <w:tcPr>
            <w:tcW w:type="dxa" w:w="1728"/>
          </w:tcPr>
          <w:p>
            <w:r>
              <w:t>C2</w:t>
            </w:r>
          </w:p>
        </w:tc>
        <w:tc>
          <w:tcPr>
            <w:tcW w:type="dxa" w:w="1728"/>
          </w:tcPr>
          <w:p>
            <w:r>
              <w:t>Concealed or delayed reporting</w:t>
            </w:r>
          </w:p>
        </w:tc>
        <w:tc>
          <w:tcPr>
            <w:tcW w:type="dxa" w:w="1728"/>
          </w:tcPr>
          <w:p>
            <w:r>
              <w:t>Failure to report, under-reporting, or late reporting of the accident</w:t>
            </w:r>
          </w:p>
        </w:tc>
        <w:tc>
          <w:tcPr>
            <w:tcW w:type="dxa" w:w="1728"/>
          </w:tcPr>
          <w:p>
            <w:r>
              <w:t>accident unreported; casualty figure concealed; report filed late</w:t>
            </w:r>
          </w:p>
        </w:tc>
      </w:tr>
    </w:tbl>
    <w:p>
      <w:r>
        <w:rPr>
          <w:i/>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b/>
        </w:rPr>
        <w:t>Figure 1.</w:t>
      </w:r>
      <w:r>
        <w:rPr>
          <w:b/>
        </w:rPr>
        <w:t xml:space="preserve"> CAIEMS system architecture.</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b/>
        </w:rPr>
        <w:t>Figure 2.</w:t>
      </w:r>
      <w:r>
        <w:rPr>
          <w:b/>
        </w:rPr>
        <w:t xml:space="preserve"> CAICS five-layer causal structure with an example evidence chain.</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2.8%</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b/>
        </w:rPr>
        <w:t>Figure 3.</w:t>
      </w:r>
      <w:r>
        <w:rPr>
          <w:b/>
        </w:rPr>
        <w:t xml:space="preserve"> Distribution of causal annotations across the nineteen CAICS categories.</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b/>
        </w:rPr>
        <w:t>Figure 4.</w:t>
      </w:r>
      <w:r>
        <w:rPr>
          <w:b/>
        </w:rPr>
        <w:t xml:space="preserve"> Dataset hierarchy and the three evaluation samples.</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pPr>
        <w:pStyle w:val="Heading3"/>
      </w:pPr>
      <w:r>
        <w:rPr>
          <w:color w:val="000000"/>
        </w:rPr>
        <w:t>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pPr>
        <w:pStyle w:val="Heading3"/>
      </w:pPr>
      <w:r>
        <w:rPr>
          <w:color w:val="000000"/>
        </w:rPr>
        <w:t>4.4.2 Few-Shot outperforms domain CoT on this model–task pair</w:t>
      </w:r>
    </w:p>
    <w:p>
      <w:r>
        <w:t>Table 7 reports the comparison. S1's examples perform joint format-content calibration: they demonstrate the output schema, the expected code density, code combination patterns, and inference depth. S1's average code density came closest to the ground truth of any strategy (4.2 vs. 5.1), while S0 under-coded (2.8) and S4 over-coded (9.2).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pPr>
        <w:pStyle w:val="Heading3"/>
      </w:pPr>
      <w:r>
        <w:rPr>
          <w:color w:val="000000"/>
        </w:rPr>
        <w:t>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b/>
        </w:rPr>
        <w:t>Figure 5.</w:t>
      </w:r>
      <w:r>
        <w:rPr>
          <w:b/>
        </w:rPr>
        <w:t xml:space="preserve"> The Lexical Gatekeeping observation and its remedy.</w:t>
      </w:r>
    </w:p>
    <w:p>
      <w:pPr>
        <w:pStyle w:val="Heading3"/>
      </w:pPr>
      <w:r>
        <w:rPr>
          <w:color w:val="000000"/>
        </w:rPr>
        <w:t>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b/>
        </w:rPr>
        <w:t>Figure 6.</w:t>
      </w:r>
      <w:r>
        <w:rPr>
          <w:b/>
        </w:rPr>
        <w:t xml:space="preserve"> Agreement between the LLM and one annotator on six fields.</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