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1"/>
        </w:rPr>
        <w:t>表 1. CAICS 五层十九类致因编码操作定义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编码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文本示例</w:t>
            </w:r>
          </w:p>
        </w:tc>
      </w:tr>
      <w:tr>
        <w:tc>
          <w:tcPr>
            <w:tcW w:type="dxa" w:w="1474"/>
            <w:vMerge w:val="restart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M 层 — 管理根基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M1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现场监管缺失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无人监督；监理未到场；未予制止</w:t>
            </w:r>
          </w:p>
        </w:tc>
      </w:tr>
      <w:tr>
        <w:tc>
          <w:tcPr>
            <w:tcW w:type="dxa" w:w="2160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M2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隐患排查失效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隐患未整改；检查走过场；反复上报未处置</w:t>
            </w:r>
          </w:p>
        </w:tc>
      </w:tr>
      <w:tr>
        <w:tc>
          <w:tcPr>
            <w:tcW w:type="dxa" w:w="2160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M3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安全培训不足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未做三级教育；班前未交底；作业人员不知规程</w:t>
            </w:r>
          </w:p>
        </w:tc>
      </w:tr>
      <w:tr>
        <w:tc>
          <w:tcPr>
            <w:tcW w:type="dxa" w:w="2160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M4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制度规程漏洞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无专项施工方案；应急预案缺失；制度未建立</w:t>
            </w:r>
          </w:p>
        </w:tc>
      </w:tr>
      <w:tr>
        <w:tc>
          <w:tcPr>
            <w:tcW w:type="dxa" w:w="2160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M5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市场行为违规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施工单位无资质；违法分包；压缩工期</w:t>
            </w:r>
          </w:p>
        </w:tc>
      </w:tr>
      <w:tr>
        <w:tc>
          <w:tcPr>
            <w:tcW w:type="dxa" w:w="1474"/>
            <w:vMerge w:val="restart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F 层 — 防线失效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F1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临边洞口防护缺失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井口无护栏；安全网缺失；洞口未覆盖</w:t>
            </w:r>
          </w:p>
        </w:tc>
      </w:tr>
      <w:tr>
        <w:tc>
          <w:tcPr>
            <w:tcW w:type="dxa" w:w="2160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F2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支撑体系失稳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模板支撑坍塌；脚手架失稳；支撑不足</w:t>
            </w:r>
          </w:p>
        </w:tc>
      </w:tr>
      <w:tr>
        <w:tc>
          <w:tcPr>
            <w:tcW w:type="dxa" w:w="2160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F3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设备安全装置失效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限位器被屏蔽；防坠器失效；装置被拆除</w:t>
            </w:r>
          </w:p>
        </w:tc>
      </w:tr>
      <w:tr>
        <w:tc>
          <w:tcPr>
            <w:tcW w:type="dxa" w:w="2160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F4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个体防护未使用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未系安全带；未戴安全帽；无个体防护</w:t>
            </w:r>
          </w:p>
        </w:tc>
      </w:tr>
      <w:tr>
        <w:tc>
          <w:tcPr>
            <w:tcW w:type="dxa" w:w="1474"/>
            <w:vMerge w:val="restart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T 层 — 触发条件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T1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设备机具故障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提升机故障；钢丝绳断裂；制动失灵</w:t>
            </w:r>
          </w:p>
        </w:tc>
      </w:tr>
      <w:tr>
        <w:tc>
          <w:tcPr>
            <w:tcW w:type="dxa" w:w="2160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T2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物料状态异常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堆载超限；材料缺陷；物料浸水增重</w:t>
            </w:r>
          </w:p>
        </w:tc>
      </w:tr>
      <w:tr>
        <w:tc>
          <w:tcPr>
            <w:tcW w:type="dxa" w:w="2160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T3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地质环境突变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突发涌水；边坡失稳；地基沉降</w:t>
            </w:r>
          </w:p>
        </w:tc>
      </w:tr>
      <w:tr>
        <w:tc>
          <w:tcPr>
            <w:tcW w:type="dxa" w:w="2160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T4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气象水文触发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暴雨；大风；连日降雨；雷电</w:t>
            </w:r>
          </w:p>
        </w:tc>
      </w:tr>
      <w:tr>
        <w:tc>
          <w:tcPr>
            <w:tcW w:type="dxa" w:w="1474"/>
            <w:vMerge w:val="restart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H 层 — 人的行为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H1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违反操作规程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未按方案施工；擅自变更；违规搭设</w:t>
            </w:r>
          </w:p>
        </w:tc>
      </w:tr>
      <w:tr>
        <w:tc>
          <w:tcPr>
            <w:tcW w:type="dxa" w:w="2160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H2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违规指挥决策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强令作业；已知风险仍继续施工</w:t>
            </w:r>
          </w:p>
        </w:tc>
      </w:tr>
      <w:tr>
        <w:tc>
          <w:tcPr>
            <w:tcW w:type="dxa" w:w="2160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H3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风险辨识失败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未察觉危险；判断失误；疏忽大意</w:t>
            </w:r>
          </w:p>
        </w:tc>
      </w:tr>
      <w:tr>
        <w:tc>
          <w:tcPr>
            <w:tcW w:type="dxa" w:w="2160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H4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应急行为失当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盲目施救；救援方法错误；撤离不及时</w:t>
            </w:r>
          </w:p>
        </w:tc>
      </w:tr>
      <w:tr>
        <w:tc>
          <w:tcPr>
            <w:tcW w:type="dxa" w:w="1474"/>
            <w:vMerge w:val="restart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C 层 — 后果放大</w:t>
            </w:r>
          </w:p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C1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救援响应迟缓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救援不及时；二次坍塌；无应急预案</w:t>
            </w:r>
          </w:p>
        </w:tc>
      </w:tr>
      <w:tr>
        <w:tc>
          <w:tcPr>
            <w:tcW w:type="dxa" w:w="2160"/>
            <w:vMerge/>
            <w:vAlign w:val="center"/>
          </w:tcPr>
          <w:p/>
        </w:tc>
        <w:tc>
          <w:tcPr>
            <w:tcW w:type="dxa" w:w="680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C2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信息迟报瞒报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b w:val="0"/>
                <w:sz w:val="21"/>
              </w:rPr>
              <w:t>未上报；瞒报伤亡；迟报</w:t>
            </w:r>
          </w:p>
        </w:tc>
      </w:tr>
    </w:tbl>
    <w:p>
      <w:r>
        <w:rPr>
          <w:rFonts w:ascii="宋体" w:hAnsi="宋体" w:eastAsia="宋体"/>
          <w:b w:val="0"/>
          <w:sz w:val="18"/>
        </w:rPr>
        <w:t>注：文本示例为语料中典型证据关键词的概括；完整操作定义见 docs/paper_v2/eswa_paper_v2_zh.md 表 2。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