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2.8%</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rPr>
          <w:rFonts w:ascii="宋体" w:hAnsi="宋体" w:eastAsia="宋体"/>
        </w:rPr>
        <w:t>表</w:t>
      </w:r>
      <w:r>
        <w:t xml:space="preserve"> 7 </w:t>
      </w:r>
      <w:r>
        <w:rPr>
          <w:rFonts w:ascii="宋体" w:hAnsi="宋体" w:eastAsia="宋体"/>
        </w:rPr>
        <w:t>汇总了该对比。</w:t>
      </w:r>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的平均编码密度在六策略中最接近真值（</w:t>
      </w:r>
      <w:r>
        <w:t xml:space="preserve">4.2 </w:t>
      </w:r>
      <w:r>
        <w:rPr>
          <w:rFonts w:ascii="宋体" w:hAnsi="宋体" w:eastAsia="宋体"/>
        </w:rPr>
        <w:t>对</w:t>
      </w:r>
      <w:r>
        <w:t xml:space="preserve"> 5.1</w:t>
      </w:r>
      <w:r>
        <w:t>），</w:t>
      </w:r>
      <w:r>
        <w:t xml:space="preserve">S0 </w:t>
      </w:r>
      <w:r>
        <w:rPr>
          <w:rFonts w:ascii="宋体" w:hAnsi="宋体" w:eastAsia="宋体"/>
        </w:rPr>
        <w:t>偏少（</w:t>
      </w:r>
      <w:r>
        <w:t>2.8</w:t>
      </w:r>
      <w:r>
        <w:t>）、</w:t>
      </w:r>
      <w:r>
        <w:t xml:space="preserve">S4 </w:t>
      </w:r>
      <w:r>
        <w:rPr>
          <w:rFonts w:ascii="宋体" w:hAnsi="宋体" w:eastAsia="宋体"/>
        </w:rPr>
        <w:t>偏多（</w:t>
      </w:r>
      <w:r>
        <w:t>9.2</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