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宋体" w:hAnsi="宋体" w:eastAsia="宋体"/>
          <w:b/>
          <w:sz w:val="21"/>
        </w:rPr>
        <w:t>表 1. 四个模型 × 六种策略的平均 F1 分数比较（%）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  <w:tblBorders>
          <w:top w:val="single" w:sz="12" w:color="000000"/>
          <w:left w:val="none" w:sz="0" w:color="000000"/>
          <w:bottom w:val="single" w:sz="12" w:color="000000"/>
          <w:right w:val="none" w:sz="0" w:color="000000"/>
          <w:insideH w:val="none" w:sz="0" w:color="000000"/>
          <w:insideV w:val="none" w:sz="0" w:color="000000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814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模型</w:t>
            </w:r>
          </w:p>
        </w:tc>
        <w:tc>
          <w:tcPr>
            <w:tcW w:type="dxa" w:w="2268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策略</w:t>
            </w:r>
          </w:p>
        </w:tc>
        <w:tc>
          <w:tcPr>
            <w:tcW w:type="dxa" w:w="2494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Ave F1</w:t>
            </w:r>
          </w:p>
        </w:tc>
        <w:tc>
          <w:tcPr>
            <w:tcW w:type="dxa" w:w="2494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Ave+ F1</w:t>
            </w:r>
          </w:p>
        </w:tc>
      </w:tr>
      <w:tr>
        <w:tc>
          <w:tcPr>
            <w:tcW w:type="dxa" w:w="181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GLM-5.2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S0 零样本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79.43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78.29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 少样本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82.33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81.35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 逐层推理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81.90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80.90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S3 计划与求解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81.03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79.98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 CAICS-CoT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78.74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77.55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S5 CAICS-CoT+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78.29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77.08</w:t>
            </w:r>
          </w:p>
        </w:tc>
      </w:tr>
      <w:tr>
        <w:tc>
          <w:tcPr>
            <w:tcW w:type="dxa" w:w="181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DeepSeek V4 Flash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S0 零样本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80.74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80.79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 少样本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87.25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87.34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 逐层推理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84.55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84.80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S3 计划与求解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85.08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84.87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 CAICS-CoT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73.05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74.50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S5 CAICS-CoT+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78.39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77.98</w:t>
            </w:r>
          </w:p>
        </w:tc>
      </w:tr>
      <w:tr>
        <w:tc>
          <w:tcPr>
            <w:tcW w:type="dxa" w:w="181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Hunyuan hy3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S0 零样本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75.21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74.62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 少样本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76.45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75.14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 逐层推理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75.89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75.35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S3 计划与求解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77.83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77.40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 CAICS-CoT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77.12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76.64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S5 CAICS-CoT+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73.68</w:t>
            </w:r>
          </w:p>
        </w:tc>
        <w:tc>
          <w:tcPr>
            <w:tcW w:type="dxa" w:w="249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75.55</w:t>
            </w:r>
          </w:p>
        </w:tc>
      </w:tr>
      <w:tr>
        <w:tc>
          <w:tcPr>
            <w:tcW w:type="dxa" w:w="1814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DeepSeek V4 Pro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S0 零样本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81.22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80.97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S1 少样本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  <w:u w:val="single"/>
              </w:rPr>
              <w:t>85.17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  <w:u w:val="single"/>
              </w:rPr>
              <w:t>85.14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S2 逐层推理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83.66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83.55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S3 计划与求解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84.49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84.25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S4 CAICS-CoT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78.15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76.93</w:t>
            </w:r>
          </w:p>
        </w:tc>
      </w:tr>
      <w:tr>
        <w:tc>
          <w:tcPr>
            <w:tcW w:type="dxa" w:w="2409"/>
            <w:vMerge/>
            <w:vAlign w:val="center"/>
          </w:tcPr>
          <w:p/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S5 CAICS-CoT+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77.89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78.52</w:t>
            </w:r>
          </w:p>
        </w:tc>
      </w:tr>
    </w:tbl>
    <w:p>
      <w:pPr>
        <w:spacing w:before="80"/>
      </w:pPr>
      <w:r>
        <w:rPr>
          <w:rFonts w:ascii="宋体" w:hAnsi="宋体" w:eastAsia="宋体"/>
          <w:b w:val="0"/>
          <w:sz w:val="18"/>
        </w:rPr>
        <w:t>注：Ave 为 19 类未加权宏平均；Ave+ 为 GT 正例数 ≥5 的 18 类（排除 C2）。真值为专家 GT（N=300，平均 7.85 编码/条）。每列最优值加粗，次优值加下划线。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