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 xml:space="preserve">Let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denote a corpus of unstructured accident narratives (median 517 characters in our corpus). The pipeline transforms each </w:t>
      </w:r>
      <w:r>
        <w:rPr>
          <w:i/>
        </w:rPr>
        <w:t>t</w:t>
      </w:r>
      <w:r>
        <w:rPr>
          <w:i/>
          <w:vertAlign w:val="subscript"/>
        </w:rPr>
        <w:t>i</w:t>
      </w:r>
      <w:r>
        <w:t xml:space="preserve"> into a structured record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 xml:space="preserve">: a basic information vector </w:t>
      </w:r>
      <w:r>
        <w:rPr>
          <w:i/>
        </w:rPr>
        <w:t>b</w:t>
      </w:r>
      <w:r>
        <w:rPr>
          <w:i/>
          <w:vertAlign w:val="subscript"/>
        </w:rPr>
        <w:t>i</w:t>
      </w:r>
      <w:r>
        <w:t xml:space="preserve"> covering 33 pre-defined fields, and a causal annotation set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 xml:space="preserve">, where </w:t>
      </w:r>
      <w:r>
        <w:rPr>
          <w:i/>
        </w:rPr>
        <w:t>x</w:t>
      </w:r>
      <w:r>
        <w:rPr>
          <w:i/>
          <w:vertAlign w:val="subscript"/>
        </w:rPr>
        <w:t>ij</w:t>
      </w:r>
      <w:r>
        <w:t xml:space="preserve"> is a causal code from the CAICS scheme, </w:t>
      </w:r>
      <w:r>
        <w:rPr>
          <w:i/>
        </w:rPr>
        <w:t>e</w:t>
      </w:r>
      <w:r>
        <w:rPr>
          <w:i/>
          <w:vertAlign w:val="subscript"/>
        </w:rPr>
        <w:t>ij</w:t>
      </w:r>
      <w:r>
        <w:t xml:space="preserve"> is the supporting text, </w:t>
      </w:r>
      <w:r>
        <w:rPr>
          <w:i/>
        </w:rPr>
        <w:t>ι</w:t>
      </w:r>
      <w:r>
        <w:rPr>
          <w:i/>
          <w:vertAlign w:val="subscript"/>
        </w:rPr>
        <w:t>ij</w:t>
      </w:r>
      <w:r>
        <w:t xml:space="preserve"> is the inference chain, and </w:t>
      </w:r>
      <w:r>
        <w:rPr>
          <w:i/>
        </w:rPr>
        <w:t>q</w:t>
      </w:r>
      <w:r>
        <w:rPr>
          <w:i/>
          <w:vertAlign w:val="subscript"/>
        </w:rPr>
        <w:t>ij</w:t>
      </w:r>
      <w:r>
        <w:rPr>
          <w:i/>
        </w:rPr>
        <w:t xml:space="preserve"> ∈ {explicit, inferred, prior}</w:t>
      </w:r>
      <w:r>
        <w:t xml:space="preserve"> is the evidence tier.</w:t>
      </w:r>
    </w:p>
    <w:p>
      <w:r>
        <w:t>The three tiers carry different epistemic commitments, and the database stores and reports them separately:</w:t>
      </w:r>
    </w:p>
    <w:p>
      <w:pPr>
        <w:pStyle w:val="ListBullet"/>
      </w:pPr>
      <w:r>
        <w:rPr>
          <w:b/>
        </w:rPr>
        <w:t>explicit</w:t>
      </w:r>
      <w:r>
        <w:t xml:space="preserve">: the source text contains a passage that directly supports the code; </w:t>
      </w:r>
      <w:r>
        <w:rPr>
          <w:i/>
        </w:rPr>
        <w:t>e</w:t>
      </w:r>
      <w:r>
        <w:rPr>
          <w:i/>
          <w:vertAlign w:val="subscript"/>
        </w:rPr>
        <w:t>ij</w:t>
      </w:r>
      <w:r>
        <w:t xml:space="preserve">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