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 The difference is not confined to record counts: the digitization track accounts for 6,270 of the 16,323 causal annotations (38.4%) and 6,081 of the 14,784 verbatim-evidence annotations (41.1%).</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2.8%</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w:t>
      </w:r>
    </w:p>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