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BERT</w:t>
      </w:r>
      <w:r>
        <w:t>（</w:t>
      </w:r>
      <w:r>
        <w:t>Devlin et al., 2019</w:t>
      </w:r>
      <w: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w:t>
      </w:r>
      <w:r>
        <w:rPr>
          <w:i/>
        </w:rPr>
        <w:t>t</w:t>
      </w:r>
      <w:r>
        <w:rPr>
          <w:i/>
          <w:vertAlign w:val="subscript"/>
        </w:rPr>
        <w:t>i</w:t>
      </w:r>
      <w:r>
        <w:t xml:space="preserve"> </w:t>
      </w:r>
      <w:r>
        <w:rPr>
          <w:rFonts w:ascii="宋体" w:hAnsi="宋体" w:eastAsia="宋体"/>
        </w:rPr>
        <w:t>转化为结构化记录</w:t>
      </w:r>
      <w:r>
        <w:t xml:space="preserve">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：基础信息向量</w:t>
      </w:r>
      <w:r>
        <w:t xml:space="preserve"> </w:t>
      </w:r>
      <w:r>
        <w:rPr>
          <w:i/>
        </w:rPr>
        <w:t>b</w:t>
      </w:r>
      <w:r>
        <w:rPr>
          <w:i/>
          <w:vertAlign w:val="subscript"/>
        </w:rPr>
        <w:t>i</w:t>
      </w:r>
      <w:r>
        <w:t xml:space="preserve"> </w:t>
      </w:r>
      <w:r>
        <w:rPr>
          <w:rFonts w:ascii="宋体" w:hAnsi="宋体" w:eastAsia="宋体"/>
        </w:rPr>
        <w:t>覆盖</w:t>
      </w:r>
      <w:r>
        <w:t xml:space="preserve"> 33 </w:t>
      </w:r>
      <w:r>
        <w:rPr>
          <w:rFonts w:ascii="宋体" w:hAnsi="宋体" w:eastAsia="宋体"/>
        </w:rPr>
        <w:t>个预定义字段；致因标注集</w:t>
      </w:r>
      <w:r>
        <w:t xml:space="preserve">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，其中</w:t>
      </w:r>
      <w:r>
        <w:t xml:space="preserve"> </w:t>
      </w:r>
      <w:r>
        <w:rPr>
          <w:i/>
        </w:rPr>
        <w:t>x</w:t>
      </w:r>
      <w:r>
        <w:rPr>
          <w:i/>
          <w:vertAlign w:val="subscript"/>
        </w:rPr>
        <w:t>ij</w:t>
      </w:r>
      <w:r>
        <w:t xml:space="preserve"> </w:t>
      </w:r>
      <w:r>
        <w:rPr>
          <w:rFonts w:ascii="宋体" w:hAnsi="宋体" w:eastAsia="宋体"/>
        </w:rPr>
        <w:t>为</w:t>
      </w:r>
      <w:r>
        <w:t xml:space="preserve"> CAICS </w:t>
      </w:r>
      <w:r>
        <w:rPr>
          <w:rFonts w:ascii="宋体" w:hAnsi="宋体" w:eastAsia="宋体"/>
        </w:rPr>
        <w:t>方案中的致因编码，</w:t>
      </w:r>
      <w:r>
        <w:rPr>
          <w:i/>
        </w:rPr>
        <w:t>e</w:t>
      </w:r>
      <w:r>
        <w:rPr>
          <w:i/>
          <w:vertAlign w:val="subscript"/>
        </w:rPr>
        <w:t>ij</w:t>
      </w:r>
      <w:r>
        <w:t xml:space="preserve"> </w:t>
      </w:r>
      <w:r>
        <w:rPr>
          <w:rFonts w:ascii="宋体" w:hAnsi="宋体" w:eastAsia="宋体"/>
        </w:rPr>
        <w:t>为支撑文本，</w:t>
      </w:r>
      <w:r>
        <w:rPr>
          <w:i/>
        </w:rPr>
        <w:t>ι</w:t>
      </w:r>
      <w:r>
        <w:rPr>
          <w:i/>
          <w:vertAlign w:val="subscript"/>
        </w:rPr>
        <w:t>ij</w:t>
      </w:r>
      <w:r>
        <w:t xml:space="preserve"> </w:t>
      </w:r>
      <w:r>
        <w:rPr>
          <w:rFonts w:ascii="宋体" w:hAnsi="宋体" w:eastAsia="宋体"/>
        </w:rPr>
        <w:t>为推理链，</w:t>
      </w:r>
      <w:r>
        <w:rPr>
          <w:i/>
        </w:rPr>
        <w:t>q</w:t>
      </w:r>
      <w:r>
        <w:rPr>
          <w:i/>
          <w:vertAlign w:val="subscript"/>
        </w:rPr>
        <w:t>ij</w:t>
      </w:r>
      <w:r>
        <w:rPr>
          <w:i/>
        </w:rPr>
        <w:t xml:space="preserve"> ∈ {explicit, inferred, prior}</w:t>
      </w:r>
      <w:r>
        <w:t xml:space="preserve">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rPr>
          <w:i/>
        </w:rPr>
        <w:t>e</w:t>
      </w:r>
      <w:r>
        <w:rPr>
          <w:i/>
          <w:vertAlign w:val="subscript"/>
        </w:rPr>
        <w:t>ij</w:t>
      </w:r>
      <w:r>
        <w:t xml:space="preserve">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pPr>
        <w:pStyle w:val="Heading3"/>
      </w:pPr>
      <w:r>
        <w:rPr>
          <w:color w:val="000000"/>
        </w:rPr>
        <w:t xml:space="preserve">3.2.1 </w:t>
      </w:r>
      <w:r>
        <w:rPr>
          <w:rFonts w:ascii="宋体" w:hAnsi="宋体" w:eastAsia="宋体"/>
          <w:color w:val="000000"/>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界面中将来源轨道作为可筛选属性开放。这一差异并不限于记录条数：文献数字化轨占</w:t>
      </w:r>
      <w:r>
        <w:t xml:space="preserve"> 16,323 </w:t>
      </w:r>
      <w:r>
        <w:rPr>
          <w:rFonts w:ascii="宋体" w:hAnsi="宋体" w:eastAsia="宋体"/>
        </w:rPr>
        <w:t>条致因标注中的</w:t>
      </w:r>
      <w:r>
        <w:t xml:space="preserve"> 6,270 </w:t>
      </w:r>
      <w:r>
        <w:rPr>
          <w:rFonts w:ascii="宋体" w:hAnsi="宋体" w:eastAsia="宋体"/>
        </w:rPr>
        <w:t>条（</w:t>
      </w:r>
      <w:r>
        <w:t>38.4%</w:t>
      </w:r>
      <w:r>
        <w:t>），占</w:t>
      </w:r>
      <w:r>
        <w:t xml:space="preserve"> 14,784 </w:t>
      </w:r>
      <w:r>
        <w:rPr>
          <w:rFonts w:ascii="宋体" w:hAnsi="宋体" w:eastAsia="宋体"/>
        </w:rPr>
        <w:t>条逐字证据标注中的</w:t>
      </w:r>
      <w:r>
        <w:t xml:space="preserve"> 6,081 </w:t>
      </w:r>
      <w:r>
        <w:rPr>
          <w:rFonts w:ascii="宋体" w:hAnsi="宋体" w:eastAsia="宋体"/>
        </w:rPr>
        <w:t>条（</w:t>
      </w:r>
      <w:r>
        <w:t>41.1%</w:t>
      </w:r>
      <w:r>
        <w:t>）。</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pPr>
        <w:pStyle w:val="Heading3"/>
      </w:pPr>
      <w:r>
        <w:rPr>
          <w:color w:val="000000"/>
        </w:rPr>
        <w:t xml:space="preserve">3.2.2 </w:t>
      </w:r>
      <w:r>
        <w:rPr>
          <w:rFonts w:ascii="宋体" w:hAnsi="宋体" w:eastAsia="宋体"/>
          <w:color w:val="000000"/>
        </w:rPr>
        <w:t>采集方案</w:t>
      </w:r>
    </w:p>
    <w:p>
      <w:r>
        <w:rPr>
          <w:rFonts w:ascii="宋体" w:hAnsi="宋体" w:eastAsia="宋体"/>
          <w:b/>
        </w:rPr>
        <w:t>网络采集轨。</w:t>
      </w:r>
      <w:r>
        <w:t xml:space="preserve"> </w:t>
      </w:r>
      <w:r>
        <w:rPr>
          <w:rFonts w:ascii="宋体" w:hAnsi="宋体" w:eastAsia="宋体"/>
        </w:rPr>
        <w:t>二十四个采集器获取网络部分。每个采集器实现统一接口并注册于中央注册表；具体实现分为四族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一个搜索引擎聚合器，发出预定义查询并仅接纳域名白名单内的结果；十八个省级应急管理部门采集器，解析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调查报告；两个国家级采集器（应急管理部与住建部）；以及三个进一步来源</w:t>
      </w:r>
      <w:r>
        <w:t>——</w:t>
      </w:r>
      <w:r>
        <w:rPr>
          <w:rFonts w:ascii="宋体" w:hAnsi="宋体" w:eastAsia="宋体"/>
        </w:rPr>
        <w:t>两个行业安全新闻门户，合计提供语料</w:t>
      </w:r>
      <w:r>
        <w:t xml:space="preserve"> 2,623 </w:t>
      </w:r>
      <w:r>
        <w:rPr>
          <w:rFonts w:ascii="宋体" w:hAnsi="宋体" w:eastAsia="宋体"/>
        </w:rPr>
        <w:t>条中的</w:t>
      </w:r>
      <w:r>
        <w:t xml:space="preserve"> 1,636 </w:t>
      </w:r>
      <w:r>
        <w:rPr>
          <w:rFonts w:ascii="宋体" w:hAnsi="宋体" w:eastAsia="宋体"/>
        </w:rPr>
        <w:t>条（</w:t>
      </w:r>
      <w:r>
        <w:t>62.4%</w:t>
      </w:r>
      <w:r>
        <w:t>），另一个为开放政府数据导入器。</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19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pPr>
        <w:pStyle w:val="Heading3"/>
      </w:pPr>
      <w:r>
        <w:rPr>
          <w:color w:val="000000"/>
        </w:rPr>
        <w:t xml:space="preserve">3.2.3 </w:t>
      </w:r>
      <w:r>
        <w:rPr>
          <w:rFonts w:ascii="宋体" w:hAnsi="宋体" w:eastAsia="宋体"/>
          <w:color w:val="000000"/>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pPr>
        <w:pStyle w:val="Heading3"/>
      </w:pPr>
      <w:r>
        <w:rPr>
          <w:color w:val="000000"/>
        </w:rPr>
        <w:t xml:space="preserve">3.2.4 </w:t>
      </w:r>
      <w:r>
        <w:rPr>
          <w:rFonts w:ascii="宋体" w:hAnsi="宋体" w:eastAsia="宋体"/>
          <w:color w:val="000000"/>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层</w:t>
            </w:r>
          </w:p>
        </w:tc>
        <w:tc>
          <w:tcPr>
            <w:tcW w:type="dxa" w:w="1728"/>
          </w:tcPr>
          <w:p>
            <w:r>
              <w:rPr>
                <w:b/>
              </w:rPr>
              <w:t>码</w:t>
            </w:r>
          </w:p>
        </w:tc>
        <w:tc>
          <w:tcPr>
            <w:tcW w:type="dxa" w:w="1728"/>
          </w:tcPr>
          <w:p>
            <w:r>
              <w:rPr>
                <w:b/>
              </w:rPr>
              <w:t>类别</w:t>
            </w:r>
          </w:p>
        </w:tc>
        <w:tc>
          <w:tcPr>
            <w:tcW w:type="dxa" w:w="1728"/>
          </w:tcPr>
          <w:p>
            <w:r>
              <w:rPr>
                <w:b/>
              </w:rPr>
              <w:t>操作定义</w:t>
            </w:r>
          </w:p>
        </w:tc>
        <w:tc>
          <w:tcPr>
            <w:tcW w:type="dxa" w:w="1728"/>
          </w:tcPr>
          <w:p>
            <w:r>
              <w:rPr>
                <w:b/>
              </w:rPr>
              <w:t>典型证据关键词</w:t>
            </w:r>
          </w:p>
        </w:tc>
      </w:tr>
      <w:tr>
        <w:tc>
          <w:tcPr>
            <w:tcW w:type="dxa" w:w="1728"/>
          </w:tcPr>
          <w:p>
            <w:r>
              <w:t>M 层 — 管理根基</w:t>
            </w:r>
          </w:p>
        </w:tc>
        <w:tc>
          <w:tcPr>
            <w:tcW w:type="dxa" w:w="1728"/>
          </w:tcPr>
          <w:p>
            <w:r>
              <w:t>M1</w:t>
            </w:r>
          </w:p>
        </w:tc>
        <w:tc>
          <w:tcPr>
            <w:tcW w:type="dxa" w:w="1728"/>
          </w:tcPr>
          <w:p>
            <w:r>
              <w:t>现场监管缺失</w:t>
            </w:r>
          </w:p>
        </w:tc>
        <w:tc>
          <w:tcPr>
            <w:tcW w:type="dxa" w:w="1728"/>
          </w:tcPr>
          <w:p>
            <w:r>
              <w:t>现场无具备资格的监督人员，或监督未能发现并制止不安全状态</w:t>
            </w:r>
          </w:p>
        </w:tc>
        <w:tc>
          <w:tcPr>
            <w:tcW w:type="dxa" w:w="1728"/>
          </w:tcPr>
          <w:p>
            <w:r>
              <w:t>无人监督；监理未到场；未予制止</w:t>
            </w:r>
          </w:p>
        </w:tc>
      </w:tr>
      <w:tr>
        <w:tc>
          <w:tcPr>
            <w:tcW w:type="dxa" w:w="1728"/>
          </w:tcPr>
          <w:p>
            <w:r/>
          </w:p>
        </w:tc>
        <w:tc>
          <w:tcPr>
            <w:tcW w:type="dxa" w:w="1728"/>
          </w:tcPr>
          <w:p>
            <w:r>
              <w:t>M2</w:t>
            </w:r>
          </w:p>
        </w:tc>
        <w:tc>
          <w:tcPr>
            <w:tcW w:type="dxa" w:w="1728"/>
          </w:tcPr>
          <w:p>
            <w:r>
              <w:t>隐患排查失效</w:t>
            </w:r>
          </w:p>
        </w:tc>
        <w:tc>
          <w:tcPr>
            <w:tcW w:type="dxa" w:w="1728"/>
          </w:tcPr>
          <w:p>
            <w:r>
              <w:t>隐患未排查、未整改，或长期存在</w:t>
            </w:r>
          </w:p>
        </w:tc>
        <w:tc>
          <w:tcPr>
            <w:tcW w:type="dxa" w:w="1728"/>
          </w:tcPr>
          <w:p>
            <w:r>
              <w:t>隐患未整改；检查走过场；反复上报未处置</w:t>
            </w:r>
          </w:p>
        </w:tc>
      </w:tr>
      <w:tr>
        <w:tc>
          <w:tcPr>
            <w:tcW w:type="dxa" w:w="1728"/>
          </w:tcPr>
          <w:p>
            <w:r/>
          </w:p>
        </w:tc>
        <w:tc>
          <w:tcPr>
            <w:tcW w:type="dxa" w:w="1728"/>
          </w:tcPr>
          <w:p>
            <w:r>
              <w:t>M3</w:t>
            </w:r>
          </w:p>
        </w:tc>
        <w:tc>
          <w:tcPr>
            <w:tcW w:type="dxa" w:w="1728"/>
          </w:tcPr>
          <w:p>
            <w:r>
              <w:t>安全培训不足</w:t>
            </w:r>
          </w:p>
        </w:tc>
        <w:tc>
          <w:tcPr>
            <w:tcW w:type="dxa" w:w="1728"/>
          </w:tcPr>
          <w:p>
            <w:r>
              <w:t>未进行入场培训或安全交底流于形式；作业人员缺乏必要安全知识</w:t>
            </w:r>
          </w:p>
        </w:tc>
        <w:tc>
          <w:tcPr>
            <w:tcW w:type="dxa" w:w="1728"/>
          </w:tcPr>
          <w:p>
            <w:r>
              <w:t>未做三级教育；班前未交底；作业人员不知规程</w:t>
            </w:r>
          </w:p>
        </w:tc>
      </w:tr>
      <w:tr>
        <w:tc>
          <w:tcPr>
            <w:tcW w:type="dxa" w:w="1728"/>
          </w:tcPr>
          <w:p>
            <w:r/>
          </w:p>
        </w:tc>
        <w:tc>
          <w:tcPr>
            <w:tcW w:type="dxa" w:w="1728"/>
          </w:tcPr>
          <w:p>
            <w:r>
              <w:t>M4</w:t>
            </w:r>
          </w:p>
        </w:tc>
        <w:tc>
          <w:tcPr>
            <w:tcW w:type="dxa" w:w="1728"/>
          </w:tcPr>
          <w:p>
            <w:r>
              <w:t>制度规程漏洞</w:t>
            </w:r>
          </w:p>
        </w:tc>
        <w:tc>
          <w:tcPr>
            <w:tcW w:type="dxa" w:w="1728"/>
          </w:tcPr>
          <w:p>
            <w:r>
              <w:t>无安全方案、无应急预案，或现场管理制度不健全</w:t>
            </w:r>
          </w:p>
        </w:tc>
        <w:tc>
          <w:tcPr>
            <w:tcW w:type="dxa" w:w="1728"/>
          </w:tcPr>
          <w:p>
            <w:r>
              <w:t>无专项施工方案；应急预案缺失；制度未建立</w:t>
            </w:r>
          </w:p>
        </w:tc>
      </w:tr>
      <w:tr>
        <w:tc>
          <w:tcPr>
            <w:tcW w:type="dxa" w:w="1728"/>
          </w:tcPr>
          <w:p>
            <w:r/>
          </w:p>
        </w:tc>
        <w:tc>
          <w:tcPr>
            <w:tcW w:type="dxa" w:w="1728"/>
          </w:tcPr>
          <w:p>
            <w:r>
              <w:t>M5</w:t>
            </w:r>
          </w:p>
        </w:tc>
        <w:tc>
          <w:tcPr>
            <w:tcW w:type="dxa" w:w="1728"/>
          </w:tcPr>
          <w:p>
            <w:r>
              <w:t>市场行为违规</w:t>
            </w:r>
          </w:p>
        </w:tc>
        <w:tc>
          <w:tcPr>
            <w:tcW w:type="dxa" w:w="1728"/>
          </w:tcPr>
          <w:p>
            <w:r>
              <w:t>无资质承揽、违法分包、转包挂靠，或违规压缩工期</w:t>
            </w:r>
          </w:p>
        </w:tc>
        <w:tc>
          <w:tcPr>
            <w:tcW w:type="dxa" w:w="1728"/>
          </w:tcPr>
          <w:p>
            <w:r>
              <w:t>施工单位无资质；违法分包；压缩工期</w:t>
            </w:r>
          </w:p>
        </w:tc>
      </w:tr>
      <w:tr>
        <w:tc>
          <w:tcPr>
            <w:tcW w:type="dxa" w:w="1728"/>
          </w:tcPr>
          <w:p>
            <w:r>
              <w:t>F 层 — 防线失效</w:t>
            </w:r>
          </w:p>
        </w:tc>
        <w:tc>
          <w:tcPr>
            <w:tcW w:type="dxa" w:w="1728"/>
          </w:tcPr>
          <w:p>
            <w:r>
              <w:t>F1</w:t>
            </w:r>
          </w:p>
        </w:tc>
        <w:tc>
          <w:tcPr>
            <w:tcW w:type="dxa" w:w="1728"/>
          </w:tcPr>
          <w:p>
            <w:r>
              <w:t>临边洞口防护缺失</w:t>
            </w:r>
          </w:p>
        </w:tc>
        <w:tc>
          <w:tcPr>
            <w:tcW w:type="dxa" w:w="1728"/>
          </w:tcPr>
          <w:p>
            <w:r>
              <w:t>无防护栏杆、无安全网、洞口未盖或临边未设防</w:t>
            </w:r>
          </w:p>
        </w:tc>
        <w:tc>
          <w:tcPr>
            <w:tcW w:type="dxa" w:w="1728"/>
          </w:tcPr>
          <w:p>
            <w:r>
              <w:t>井口无护栏；安全网缺失；洞口未覆盖</w:t>
            </w:r>
          </w:p>
        </w:tc>
      </w:tr>
      <w:tr>
        <w:tc>
          <w:tcPr>
            <w:tcW w:type="dxa" w:w="1728"/>
          </w:tcPr>
          <w:p>
            <w:r/>
          </w:p>
        </w:tc>
        <w:tc>
          <w:tcPr>
            <w:tcW w:type="dxa" w:w="1728"/>
          </w:tcPr>
          <w:p>
            <w:r>
              <w:t>F2</w:t>
            </w:r>
          </w:p>
        </w:tc>
        <w:tc>
          <w:tcPr>
            <w:tcW w:type="dxa" w:w="1728"/>
          </w:tcPr>
          <w:p>
            <w:r>
              <w:t>支撑体系失稳</w:t>
            </w:r>
          </w:p>
        </w:tc>
        <w:tc>
          <w:tcPr>
            <w:tcW w:type="dxa" w:w="1728"/>
          </w:tcPr>
          <w:p>
            <w:r>
              <w:t>模板或脚手架失稳、支撑不足，或临时结构失效</w:t>
            </w:r>
          </w:p>
        </w:tc>
        <w:tc>
          <w:tcPr>
            <w:tcW w:type="dxa" w:w="1728"/>
          </w:tcPr>
          <w:p>
            <w:r>
              <w:t>模板支撑坍塌；脚手架失稳；支撑不足</w:t>
            </w:r>
          </w:p>
        </w:tc>
      </w:tr>
      <w:tr>
        <w:tc>
          <w:tcPr>
            <w:tcW w:type="dxa" w:w="1728"/>
          </w:tcPr>
          <w:p>
            <w:r/>
          </w:p>
        </w:tc>
        <w:tc>
          <w:tcPr>
            <w:tcW w:type="dxa" w:w="1728"/>
          </w:tcPr>
          <w:p>
            <w:r>
              <w:t>F3</w:t>
            </w:r>
          </w:p>
        </w:tc>
        <w:tc>
          <w:tcPr>
            <w:tcW w:type="dxa" w:w="1728"/>
          </w:tcPr>
          <w:p>
            <w:r>
              <w:t>设备安全装置失效</w:t>
            </w:r>
          </w:p>
        </w:tc>
        <w:tc>
          <w:tcPr>
            <w:tcW w:type="dxa" w:w="1728"/>
          </w:tcPr>
          <w:p>
            <w:r>
              <w:t>限位器被屏蔽、防坠器失效，或安全装置损坏、未安装</w:t>
            </w:r>
          </w:p>
        </w:tc>
        <w:tc>
          <w:tcPr>
            <w:tcW w:type="dxa" w:w="1728"/>
          </w:tcPr>
          <w:p>
            <w:r>
              <w:t>限位器被屏蔽；防坠器失效；装置被拆除</w:t>
            </w:r>
          </w:p>
        </w:tc>
      </w:tr>
      <w:tr>
        <w:tc>
          <w:tcPr>
            <w:tcW w:type="dxa" w:w="1728"/>
          </w:tcPr>
          <w:p>
            <w:r/>
          </w:p>
        </w:tc>
        <w:tc>
          <w:tcPr>
            <w:tcW w:type="dxa" w:w="1728"/>
          </w:tcPr>
          <w:p>
            <w:r>
              <w:t>F4</w:t>
            </w:r>
          </w:p>
        </w:tc>
        <w:tc>
          <w:tcPr>
            <w:tcW w:type="dxa" w:w="1728"/>
          </w:tcPr>
          <w:p>
            <w:r>
              <w:t>个体防护未使用</w:t>
            </w:r>
          </w:p>
        </w:tc>
        <w:tc>
          <w:tcPr>
            <w:tcW w:type="dxa" w:w="1728"/>
          </w:tcPr>
          <w:p>
            <w:r>
              <w:t>应按要求佩戴的安全带、安全帽等个体防护装备未使用</w:t>
            </w:r>
          </w:p>
        </w:tc>
        <w:tc>
          <w:tcPr>
            <w:tcW w:type="dxa" w:w="1728"/>
          </w:tcPr>
          <w:p>
            <w:r>
              <w:t>未系安全带；未戴安全帽；无个体防护</w:t>
            </w:r>
          </w:p>
        </w:tc>
      </w:tr>
      <w:tr>
        <w:tc>
          <w:tcPr>
            <w:tcW w:type="dxa" w:w="1728"/>
          </w:tcPr>
          <w:p>
            <w:r>
              <w:t>T 层 — 触发条件</w:t>
            </w:r>
          </w:p>
        </w:tc>
        <w:tc>
          <w:tcPr>
            <w:tcW w:type="dxa" w:w="1728"/>
          </w:tcPr>
          <w:p>
            <w:r>
              <w:t>T1</w:t>
            </w:r>
          </w:p>
        </w:tc>
        <w:tc>
          <w:tcPr>
            <w:tcW w:type="dxa" w:w="1728"/>
          </w:tcPr>
          <w:p>
            <w:r>
              <w:t>设备机具故障</w:t>
            </w:r>
          </w:p>
        </w:tc>
        <w:tc>
          <w:tcPr>
            <w:tcW w:type="dxa" w:w="1728"/>
          </w:tcPr>
          <w:p>
            <w:r>
              <w:t>设备故障、钢丝绳断裂、机械失灵或制动失效</w:t>
            </w:r>
          </w:p>
        </w:tc>
        <w:tc>
          <w:tcPr>
            <w:tcW w:type="dxa" w:w="1728"/>
          </w:tcPr>
          <w:p>
            <w:r>
              <w:t>提升机故障；钢丝绳断裂；制动失灵</w:t>
            </w:r>
          </w:p>
        </w:tc>
      </w:tr>
      <w:tr>
        <w:tc>
          <w:tcPr>
            <w:tcW w:type="dxa" w:w="1728"/>
          </w:tcPr>
          <w:p>
            <w:r/>
          </w:p>
        </w:tc>
        <w:tc>
          <w:tcPr>
            <w:tcW w:type="dxa" w:w="1728"/>
          </w:tcPr>
          <w:p>
            <w:r>
              <w:t>T2</w:t>
            </w:r>
          </w:p>
        </w:tc>
        <w:tc>
          <w:tcPr>
            <w:tcW w:type="dxa" w:w="1728"/>
          </w:tcPr>
          <w:p>
            <w:r>
              <w:t>物料状态异常</w:t>
            </w:r>
          </w:p>
        </w:tc>
        <w:tc>
          <w:tcPr>
            <w:tcW w:type="dxa" w:w="1728"/>
          </w:tcPr>
          <w:p>
            <w:r>
              <w:t>堆载超出设计承载、材料缺陷或物料失稳</w:t>
            </w:r>
          </w:p>
        </w:tc>
        <w:tc>
          <w:tcPr>
            <w:tcW w:type="dxa" w:w="1728"/>
          </w:tcPr>
          <w:p>
            <w:r>
              <w:t>堆载超限；材料缺陷；物料浸水增重</w:t>
            </w:r>
          </w:p>
        </w:tc>
      </w:tr>
      <w:tr>
        <w:tc>
          <w:tcPr>
            <w:tcW w:type="dxa" w:w="1728"/>
          </w:tcPr>
          <w:p>
            <w:r/>
          </w:p>
        </w:tc>
        <w:tc>
          <w:tcPr>
            <w:tcW w:type="dxa" w:w="1728"/>
          </w:tcPr>
          <w:p>
            <w:r>
              <w:t>T3</w:t>
            </w:r>
          </w:p>
        </w:tc>
        <w:tc>
          <w:tcPr>
            <w:tcW w:type="dxa" w:w="1728"/>
          </w:tcPr>
          <w:p>
            <w:r>
              <w:t>地质环境突变</w:t>
            </w:r>
          </w:p>
        </w:tc>
        <w:tc>
          <w:tcPr>
            <w:tcW w:type="dxa" w:w="1728"/>
          </w:tcPr>
          <w:p>
            <w:r>
              <w:t>涌水、边坡失稳、地基沉降或流沙</w:t>
            </w:r>
          </w:p>
        </w:tc>
        <w:tc>
          <w:tcPr>
            <w:tcW w:type="dxa" w:w="1728"/>
          </w:tcPr>
          <w:p>
            <w:r>
              <w:t>突发涌水；边坡失稳；地基沉降</w:t>
            </w:r>
          </w:p>
        </w:tc>
      </w:tr>
      <w:tr>
        <w:tc>
          <w:tcPr>
            <w:tcW w:type="dxa" w:w="1728"/>
          </w:tcPr>
          <w:p>
            <w:r/>
          </w:p>
        </w:tc>
        <w:tc>
          <w:tcPr>
            <w:tcW w:type="dxa" w:w="1728"/>
          </w:tcPr>
          <w:p>
            <w:r>
              <w:t>T4</w:t>
            </w:r>
          </w:p>
        </w:tc>
        <w:tc>
          <w:tcPr>
            <w:tcW w:type="dxa" w:w="1728"/>
          </w:tcPr>
          <w:p>
            <w:r>
              <w:t>气象水文触发</w:t>
            </w:r>
          </w:p>
        </w:tc>
        <w:tc>
          <w:tcPr>
            <w:tcW w:type="dxa" w:w="1728"/>
          </w:tcPr>
          <w:p>
            <w:r>
              <w:t>暴雨、大风、冰雪、雷电或连日降雨</w:t>
            </w:r>
          </w:p>
        </w:tc>
        <w:tc>
          <w:tcPr>
            <w:tcW w:type="dxa" w:w="1728"/>
          </w:tcPr>
          <w:p>
            <w:r>
              <w:t>暴雨；大风；连日降雨；雷电</w:t>
            </w:r>
          </w:p>
        </w:tc>
      </w:tr>
      <w:tr>
        <w:tc>
          <w:tcPr>
            <w:tcW w:type="dxa" w:w="1728"/>
          </w:tcPr>
          <w:p>
            <w:r>
              <w:t>H 层 — 人的行为</w:t>
            </w:r>
          </w:p>
        </w:tc>
        <w:tc>
          <w:tcPr>
            <w:tcW w:type="dxa" w:w="1728"/>
          </w:tcPr>
          <w:p>
            <w:r>
              <w:t>H1</w:t>
            </w:r>
          </w:p>
        </w:tc>
        <w:tc>
          <w:tcPr>
            <w:tcW w:type="dxa" w:w="1728"/>
          </w:tcPr>
          <w:p>
            <w:r>
              <w:t>违反操作规程</w:t>
            </w:r>
          </w:p>
        </w:tc>
        <w:tc>
          <w:tcPr>
            <w:tcW w:type="dxa" w:w="1728"/>
          </w:tcPr>
          <w:p>
            <w:r>
              <w:t>未按方案施工、擅自变更方案或未按规范搭设</w:t>
            </w:r>
          </w:p>
        </w:tc>
        <w:tc>
          <w:tcPr>
            <w:tcW w:type="dxa" w:w="1728"/>
          </w:tcPr>
          <w:p>
            <w:r>
              <w:t>未按方案施工；擅自变更；违规搭设</w:t>
            </w:r>
          </w:p>
        </w:tc>
      </w:tr>
      <w:tr>
        <w:tc>
          <w:tcPr>
            <w:tcW w:type="dxa" w:w="1728"/>
          </w:tcPr>
          <w:p>
            <w:r/>
          </w:p>
        </w:tc>
        <w:tc>
          <w:tcPr>
            <w:tcW w:type="dxa" w:w="1728"/>
          </w:tcPr>
          <w:p>
            <w:r>
              <w:t>H2</w:t>
            </w:r>
          </w:p>
        </w:tc>
        <w:tc>
          <w:tcPr>
            <w:tcW w:type="dxa" w:w="1728"/>
          </w:tcPr>
          <w:p>
            <w:r>
              <w:t>违规指挥决策</w:t>
            </w:r>
          </w:p>
        </w:tc>
        <w:tc>
          <w:tcPr>
            <w:tcW w:type="dxa" w:w="1728"/>
          </w:tcPr>
          <w:p>
            <w:r>
              <w:t>明知已识别的风险仍下令或继续作业</w:t>
            </w:r>
          </w:p>
        </w:tc>
        <w:tc>
          <w:tcPr>
            <w:tcW w:type="dxa" w:w="1728"/>
          </w:tcPr>
          <w:p>
            <w:r>
              <w:t>强令作业；已知风险仍继续施工</w:t>
            </w:r>
          </w:p>
        </w:tc>
      </w:tr>
      <w:tr>
        <w:tc>
          <w:tcPr>
            <w:tcW w:type="dxa" w:w="1728"/>
          </w:tcPr>
          <w:p>
            <w:r/>
          </w:p>
        </w:tc>
        <w:tc>
          <w:tcPr>
            <w:tcW w:type="dxa" w:w="1728"/>
          </w:tcPr>
          <w:p>
            <w:r>
              <w:t>H3</w:t>
            </w:r>
          </w:p>
        </w:tc>
        <w:tc>
          <w:tcPr>
            <w:tcW w:type="dxa" w:w="1728"/>
          </w:tcPr>
          <w:p>
            <w:r>
              <w:t>风险辨识失败</w:t>
            </w:r>
          </w:p>
        </w:tc>
        <w:tc>
          <w:tcPr>
            <w:tcW w:type="dxa" w:w="1728"/>
          </w:tcPr>
          <w:p>
            <w:r>
              <w:t>未识别危险，或已识别但判断失误</w:t>
            </w:r>
          </w:p>
        </w:tc>
        <w:tc>
          <w:tcPr>
            <w:tcW w:type="dxa" w:w="1728"/>
          </w:tcPr>
          <w:p>
            <w:r>
              <w:t>未察觉危险；判断失误；疏忽大意</w:t>
            </w:r>
          </w:p>
        </w:tc>
      </w:tr>
      <w:tr>
        <w:tc>
          <w:tcPr>
            <w:tcW w:type="dxa" w:w="1728"/>
          </w:tcPr>
          <w:p>
            <w:r/>
          </w:p>
        </w:tc>
        <w:tc>
          <w:tcPr>
            <w:tcW w:type="dxa" w:w="1728"/>
          </w:tcPr>
          <w:p>
            <w:r>
              <w:t>H4</w:t>
            </w:r>
          </w:p>
        </w:tc>
        <w:tc>
          <w:tcPr>
            <w:tcW w:type="dxa" w:w="1728"/>
          </w:tcPr>
          <w:p>
            <w:r>
              <w:t>应急行为失当</w:t>
            </w:r>
          </w:p>
        </w:tc>
        <w:tc>
          <w:tcPr>
            <w:tcW w:type="dxa" w:w="1728"/>
          </w:tcPr>
          <w:p>
            <w:r>
              <w:t>无防护施救、撤离不及时，或救援方法不当致后果扩大</w:t>
            </w:r>
          </w:p>
        </w:tc>
        <w:tc>
          <w:tcPr>
            <w:tcW w:type="dxa" w:w="1728"/>
          </w:tcPr>
          <w:p>
            <w:r>
              <w:t>盲目施救；救援方法错误；撤离不及时</w:t>
            </w:r>
          </w:p>
        </w:tc>
      </w:tr>
      <w:tr>
        <w:tc>
          <w:tcPr>
            <w:tcW w:type="dxa" w:w="1728"/>
          </w:tcPr>
          <w:p>
            <w:r>
              <w:t>C 层 — 后果放大</w:t>
            </w:r>
          </w:p>
        </w:tc>
        <w:tc>
          <w:tcPr>
            <w:tcW w:type="dxa" w:w="1728"/>
          </w:tcPr>
          <w:p>
            <w:r>
              <w:t>C1</w:t>
            </w:r>
          </w:p>
        </w:tc>
        <w:tc>
          <w:tcPr>
            <w:tcW w:type="dxa" w:w="1728"/>
          </w:tcPr>
          <w:p>
            <w:r>
              <w:t>救援响应迟缓</w:t>
            </w:r>
          </w:p>
        </w:tc>
        <w:tc>
          <w:tcPr>
            <w:tcW w:type="dxa" w:w="1728"/>
          </w:tcPr>
          <w:p>
            <w:r>
              <w:t>救援启动滞后、应急预案未落实，或二次坍塌阻碍救援</w:t>
            </w:r>
          </w:p>
        </w:tc>
        <w:tc>
          <w:tcPr>
            <w:tcW w:type="dxa" w:w="1728"/>
          </w:tcPr>
          <w:p>
            <w:r>
              <w:t>救援不及时；二次坍塌；无应急预案</w:t>
            </w:r>
          </w:p>
        </w:tc>
      </w:tr>
      <w:tr>
        <w:tc>
          <w:tcPr>
            <w:tcW w:type="dxa" w:w="1728"/>
          </w:tcPr>
          <w:p>
            <w:r/>
          </w:p>
        </w:tc>
        <w:tc>
          <w:tcPr>
            <w:tcW w:type="dxa" w:w="1728"/>
          </w:tcPr>
          <w:p>
            <w:r>
              <w:t>C2</w:t>
            </w:r>
          </w:p>
        </w:tc>
        <w:tc>
          <w:tcPr>
            <w:tcW w:type="dxa" w:w="1728"/>
          </w:tcPr>
          <w:p>
            <w:r>
              <w:t>信息迟报瞒报</w:t>
            </w:r>
          </w:p>
        </w:tc>
        <w:tc>
          <w:tcPr>
            <w:tcW w:type="dxa" w:w="1728"/>
          </w:tcPr>
          <w:p>
            <w:r>
              <w:t>未上报、少报或迟报事故信息</w:t>
            </w:r>
          </w:p>
        </w:tc>
        <w:tc>
          <w:tcPr>
            <w:tcW w:type="dxa" w:w="1728"/>
          </w:tcPr>
          <w:p>
            <w:r>
              <w:t>未上报；瞒报伤亡；迟报</w:t>
            </w:r>
          </w:p>
        </w:tc>
      </w:tr>
    </w:tbl>
    <w:p>
      <w:r>
        <w:rPr>
          <w:i/>
        </w:rPr>
        <w:t>关键词为语料中中文表述的概括。不依赖直接引用的编码占比随层而异——管理层 12.0%，触发层 3.1%——与 3.1 节的三级证据方案一致。</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2.8%</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严重程度的分布依循中国生产安全事故的分类标准（一般、较大、重大、特别重大）。十二类事故类型以工程特异性粒度整合了中国的职业伤害分类标准（</w:t>
      </w:r>
      <w:r>
        <w:t>GB 6441-86</w:t>
      </w:r>
      <w:r>
        <w:t>）：坍塌与土方坍塌分列，因为二者在建筑施工死亡事故中占主导，且需要不同的预防制度；淹溺与中毒</w:t>
      </w:r>
      <w:r>
        <w:t>/</w:t>
      </w:r>
      <w:r>
        <w:rPr>
          <w:rFonts w:ascii="宋体" w:hAnsi="宋体" w:eastAsia="宋体"/>
        </w:rPr>
        <w:t>窒息虽然频次较低，仍保留为独立类型。</w:t>
      </w:r>
    </w:p>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pPr>
        <w:pStyle w:val="Heading3"/>
      </w:pPr>
      <w:r>
        <w:rPr>
          <w:color w:val="000000"/>
        </w:rPr>
        <w:t xml:space="preserve">4.4.1 </w:t>
      </w:r>
      <w:r>
        <w:rPr>
          <w:rFonts w:ascii="宋体" w:hAnsi="宋体" w:eastAsia="宋体"/>
          <w:color w:val="000000"/>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pPr>
        <w:pStyle w:val="Heading3"/>
      </w:pPr>
      <w:r>
        <w:rPr>
          <w:color w:val="000000"/>
        </w:rPr>
        <w:t xml:space="preserve">4.4.2 </w:t>
      </w:r>
      <w:r>
        <w:rPr>
          <w:rFonts w:ascii="宋体" w:hAnsi="宋体" w:eastAsia="宋体"/>
          <w:color w:val="000000"/>
        </w:rPr>
        <w:t>少样本在本模型</w:t>
      </w:r>
      <w:r>
        <w:rPr>
          <w:color w:val="000000"/>
        </w:rPr>
        <w:t>-</w:t>
      </w:r>
      <w:r>
        <w:rPr>
          <w:rFonts w:ascii="宋体" w:hAnsi="宋体" w:eastAsia="宋体"/>
          <w:color w:val="000000"/>
        </w:rPr>
        <w:t>任务组合上优于领域</w:t>
      </w:r>
      <w:r>
        <w:rPr>
          <w:color w:val="000000"/>
        </w:rPr>
        <w:t xml:space="preserve"> CoT</w:t>
      </w:r>
    </w:p>
    <w:p>
      <w:r>
        <w:rPr>
          <w:rFonts w:ascii="宋体" w:hAnsi="宋体" w:eastAsia="宋体"/>
        </w:rPr>
        <w:t>表</w:t>
      </w:r>
      <w:r>
        <w:t xml:space="preserve"> 7 </w:t>
      </w:r>
      <w:r>
        <w:rPr>
          <w:rFonts w:ascii="宋体" w:hAnsi="宋体" w:eastAsia="宋体"/>
        </w:rPr>
        <w:t>汇总了该对比。</w:t>
      </w:r>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的平均编码密度在六策略中最接近真值（</w:t>
      </w:r>
      <w:r>
        <w:t xml:space="preserve">4.2 </w:t>
      </w:r>
      <w:r>
        <w:rPr>
          <w:rFonts w:ascii="宋体" w:hAnsi="宋体" w:eastAsia="宋体"/>
        </w:rPr>
        <w:t>对</w:t>
      </w:r>
      <w:r>
        <w:t xml:space="preserve"> 5.1</w:t>
      </w:r>
      <w:r>
        <w:t>），</w:t>
      </w:r>
      <w:r>
        <w:t xml:space="preserve">S0 </w:t>
      </w:r>
      <w:r>
        <w:rPr>
          <w:rFonts w:ascii="宋体" w:hAnsi="宋体" w:eastAsia="宋体"/>
        </w:rPr>
        <w:t>偏少（</w:t>
      </w:r>
      <w:r>
        <w:t>2.8</w:t>
      </w:r>
      <w:r>
        <w:t>）、</w:t>
      </w:r>
      <w:r>
        <w:t xml:space="preserve">S4 </w:t>
      </w:r>
      <w:r>
        <w:rPr>
          <w:rFonts w:ascii="宋体" w:hAnsi="宋体" w:eastAsia="宋体"/>
        </w:rPr>
        <w:t>偏多（</w:t>
      </w:r>
      <w:r>
        <w:t>9.2</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pPr>
        <w:pStyle w:val="Heading3"/>
      </w:pPr>
      <w:r>
        <w:rPr>
          <w:color w:val="000000"/>
        </w:rPr>
        <w:t xml:space="preserve">4.4.3 </w:t>
      </w:r>
      <w:r>
        <w:rPr>
          <w:rFonts w:ascii="宋体" w:hAnsi="宋体" w:eastAsia="宋体"/>
          <w:color w:val="000000"/>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pPr>
        <w:pStyle w:val="Heading3"/>
      </w:pPr>
      <w:r>
        <w:rPr>
          <w:color w:val="000000"/>
        </w:rPr>
        <w:t xml:space="preserve">4.4.4 </w:t>
      </w:r>
      <w:r>
        <w:rPr>
          <w:rFonts w:ascii="宋体" w:hAnsi="宋体" w:eastAsia="宋体"/>
          <w:color w:val="000000"/>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 xml:space="preserve">4.4.5 </w:t>
      </w:r>
      <w:r>
        <w:rPr>
          <w:rFonts w:ascii="宋体" w:hAnsi="宋体" w:eastAsia="宋体"/>
          <w:color w:val="000000"/>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r>
        <w:t xml:space="preserve">(9) </w:t>
      </w:r>
      <w:r>
        <w:rPr>
          <w:i/>
        </w:rPr>
        <w:t>描述保真度。</w:t>
      </w:r>
      <w:r>
        <w:t xml:space="preserve"> </w:t>
      </w:r>
      <w:r>
        <w:rPr>
          <w:rFonts w:ascii="宋体" w:hAnsi="宋体" w:eastAsia="宋体"/>
        </w:rPr>
        <w:t>第</w:t>
      </w:r>
      <w:r>
        <w:t xml:space="preserve"> 3 </w:t>
      </w:r>
      <w:r>
        <w:rPr>
          <w:rFonts w:ascii="宋体" w:hAnsi="宋体" w:eastAsia="宋体"/>
        </w:rPr>
        <w:t>节的系统描述是对实现的作者撰写式叙述，而非由实现生成的产物。起草后对该叙述与采集器注册表所做的一次人工审计，在</w:t>
      </w:r>
      <w:r>
        <w:t xml:space="preserve"> 3.2.2 </w:t>
      </w:r>
      <w:r>
        <w:rPr>
          <w:rFonts w:ascii="宋体" w:hAnsi="宋体" w:eastAsia="宋体"/>
        </w:rPr>
        <w:t>节同一段内发现四处不符</w:t>
      </w:r>
      <w:r>
        <w:t>——</w:t>
      </w:r>
      <w:r>
        <w:rPr>
          <w:rFonts w:ascii="宋体" w:hAnsi="宋体" w:eastAsia="宋体"/>
        </w:rPr>
        <w:t>采集器总数、省级采集器数、辅助来源族的构成、新闻域名白名单的规模</w:t>
      </w:r>
      <w:r>
        <w:t>——</w:t>
      </w:r>
      <w:r>
        <w:rPr>
          <w:rFonts w:ascii="宋体" w:hAnsi="宋体" w:eastAsia="宋体"/>
        </w:rPr>
        <w:t>均已修正。此事界定了其余描述应如何阅读：关于实现的叙述性陈述依赖于与代码的人工核对，需要核实某条具体主张的读者，应以注册表与已发布代码为准，而非以散文叙述为准。</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