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4328" w14:textId="77777777" w:rsidR="00FE05A5" w:rsidRPr="00FE05A5" w:rsidRDefault="00FE05A5" w:rsidP="00FE05A5">
      <w:pPr>
        <w:rPr>
          <w:rFonts w:ascii="Inter" w:hAnsi="Inter"/>
        </w:rPr>
      </w:pPr>
      <w:r w:rsidRPr="00FE05A5">
        <w:t> </w:t>
      </w:r>
    </w:p>
    <w:p w14:paraId="46E0F8D3" w14:textId="4F2C7715" w:rsidR="00FE05A5" w:rsidRPr="00FE05A5" w:rsidRDefault="00FE05A5" w:rsidP="00FE05A5">
      <w:pPr>
        <w:rPr>
          <w:rFonts w:ascii="Inter" w:hAnsi="Inter"/>
          <w:b/>
          <w:bCs/>
          <w:color w:val="0E2841" w:themeColor="text2"/>
        </w:rPr>
      </w:pPr>
      <w:r w:rsidRPr="00FE05A5">
        <w:rPr>
          <w:rFonts w:ascii="Inter" w:hAnsi="Inter"/>
          <w:b/>
          <w:bCs/>
          <w:color w:val="0E2841" w:themeColor="text2"/>
        </w:rPr>
        <w:t xml:space="preserve">Como as políticas de </w:t>
      </w:r>
      <w:proofErr w:type="spellStart"/>
      <w:r w:rsidRPr="00FE05A5">
        <w:rPr>
          <w:rFonts w:ascii="Inter" w:hAnsi="Inter"/>
          <w:b/>
          <w:bCs/>
          <w:color w:val="0E2841" w:themeColor="text2"/>
        </w:rPr>
        <w:t>acessib</w:t>
      </w:r>
      <w:proofErr w:type="spellEnd"/>
      <w:r w:rsidR="00DB5490">
        <w:rPr>
          <w:rFonts w:ascii="Inter" w:hAnsi="Inter"/>
          <w:b/>
          <w:bCs/>
          <w:color w:val="0E2841" w:themeColor="text2"/>
        </w:rPr>
        <w:tab/>
      </w:r>
      <w:r w:rsidRPr="00FE05A5">
        <w:rPr>
          <w:rFonts w:ascii="Inter" w:hAnsi="Inter"/>
          <w:b/>
          <w:bCs/>
          <w:color w:val="0E2841" w:themeColor="text2"/>
        </w:rPr>
        <w:t>ilidade afetam os desenvolvedores: </w:t>
      </w:r>
    </w:p>
    <w:p w14:paraId="3FB67F55" w14:textId="77777777" w:rsidR="00FE05A5" w:rsidRPr="00FE05A5" w:rsidRDefault="00FE05A5" w:rsidP="00FE05A5">
      <w:pPr>
        <w:rPr>
          <w:rFonts w:ascii="Inter" w:hAnsi="Inter"/>
        </w:rPr>
      </w:pPr>
      <w:r w:rsidRPr="00FE05A5">
        <w:rPr>
          <w:rFonts w:ascii="Inter" w:hAnsi="Inter"/>
        </w:rPr>
        <w:t> </w:t>
      </w:r>
    </w:p>
    <w:p w14:paraId="573FC10F" w14:textId="77777777" w:rsidR="00FE05A5" w:rsidRPr="00FE05A5" w:rsidRDefault="00FE05A5" w:rsidP="00FE05A5">
      <w:pPr>
        <w:rPr>
          <w:rFonts w:ascii="Inter" w:hAnsi="Inter"/>
        </w:rPr>
      </w:pPr>
      <w:r w:rsidRPr="00FE05A5">
        <w:rPr>
          <w:rFonts w:ascii="Inter" w:hAnsi="Inter"/>
        </w:rPr>
        <w:t>Empresas que priorizam a acessibilidade digital e física exercem um impacto positivo significativo na vida dos programadores, tanto no aspecto técnico quanto profissional e humano. Ao adotar práticas inclusivas, essas organizações não apenas cumprem um papel social importante, mas também elevam a qualidade do desenvolvimento de software. </w:t>
      </w:r>
    </w:p>
    <w:p w14:paraId="43DE4CD7" w14:textId="77777777" w:rsidR="00FE05A5" w:rsidRPr="00FE05A5" w:rsidRDefault="00FE05A5" w:rsidP="00FE05A5">
      <w:pPr>
        <w:rPr>
          <w:rFonts w:ascii="Inter" w:hAnsi="Inter"/>
        </w:rPr>
      </w:pPr>
      <w:r w:rsidRPr="00FE05A5">
        <w:rPr>
          <w:rFonts w:ascii="Inter" w:hAnsi="Inter"/>
        </w:rPr>
        <w:t>No campo técnico, a acessibilidade exige que os programadores sigam padrões rigorosos, como as WCAG (Web </w:t>
      </w:r>
      <w:proofErr w:type="spellStart"/>
      <w:r w:rsidRPr="00FE05A5">
        <w:rPr>
          <w:rFonts w:ascii="Inter" w:hAnsi="Inter"/>
        </w:rPr>
        <w:t>Content</w:t>
      </w:r>
      <w:proofErr w:type="spellEnd"/>
      <w:r w:rsidRPr="00FE05A5">
        <w:rPr>
          <w:rFonts w:ascii="Inter" w:hAnsi="Inter"/>
        </w:rPr>
        <w:t> </w:t>
      </w:r>
      <w:proofErr w:type="spellStart"/>
      <w:r w:rsidRPr="00FE05A5">
        <w:rPr>
          <w:rFonts w:ascii="Inter" w:hAnsi="Inter"/>
        </w:rPr>
        <w:t>Accessibility</w:t>
      </w:r>
      <w:proofErr w:type="spellEnd"/>
      <w:r w:rsidRPr="00FE05A5">
        <w:rPr>
          <w:rFonts w:ascii="Inter" w:hAnsi="Inter"/>
        </w:rPr>
        <w:t> </w:t>
      </w:r>
      <w:proofErr w:type="spellStart"/>
      <w:r w:rsidRPr="00FE05A5">
        <w:rPr>
          <w:rFonts w:ascii="Inter" w:hAnsi="Inter"/>
        </w:rPr>
        <w:t>Guidelines</w:t>
      </w:r>
      <w:proofErr w:type="spellEnd"/>
      <w:r w:rsidRPr="00FE05A5">
        <w:rPr>
          <w:rFonts w:ascii="Inter" w:hAnsi="Inter"/>
        </w:rPr>
        <w:t>). Isso contribui para a criação de códigos mais limpos, bem estruturados e com melhor semântica, além de incentivar o uso correto de HTML, CSS e boas práticas de desenvolvimento. Como consequência, os sistemas se tornam mais estáveis, com menos erros e mais fáceis de manter ao longo do tempo. </w:t>
      </w:r>
    </w:p>
    <w:p w14:paraId="4236BFA1" w14:textId="77777777" w:rsidR="00FE05A5" w:rsidRPr="00FE05A5" w:rsidRDefault="00FE05A5" w:rsidP="00FE05A5">
      <w:pPr>
        <w:rPr>
          <w:rFonts w:ascii="Inter" w:hAnsi="Inter"/>
        </w:rPr>
      </w:pPr>
      <w:r w:rsidRPr="00FE05A5">
        <w:rPr>
          <w:rFonts w:ascii="Inter" w:hAnsi="Inter"/>
        </w:rPr>
        <w:t>Além disso, ambientes acessíveis promovem a diversidade dentro das equipes, incluindo pessoas com deficiência (PCDs). Essa diversidade amplia as perspectivas no desenvolvimento de soluções, estimulando a inovação e resultando em produtos mais eficientes e inclusivos. A troca de experiências entre profissionais com diferentes vivências torna o ambiente de trabalho mais colaborativo e enriquecedor. </w:t>
      </w:r>
    </w:p>
    <w:p w14:paraId="49625011" w14:textId="77777777" w:rsidR="00FE05A5" w:rsidRPr="00FE05A5" w:rsidRDefault="00FE05A5" w:rsidP="00FE05A5">
      <w:pPr>
        <w:rPr>
          <w:rFonts w:ascii="Inter" w:hAnsi="Inter"/>
        </w:rPr>
      </w:pPr>
      <w:r w:rsidRPr="00FE05A5">
        <w:rPr>
          <w:rFonts w:ascii="Inter" w:hAnsi="Inter"/>
        </w:rPr>
        <w:t>Outro ponto importante é a valorização profissional. O conhecimento em acessibilidade (A11y) está cada vez mais em alta no mercado de tecnologia, o que torna os programadores mais qualificados e abre oportunidades para áreas especializadas, como engenharia de acessibilidade. Empresas que investem nisso também tendem a utilizar tecnologias modernas, como ferramentas de automação e inteligência artificial, integrando a acessibilidade desde o início do projeto (prática conhecida como shift-</w:t>
      </w:r>
      <w:proofErr w:type="spellStart"/>
      <w:r w:rsidRPr="00FE05A5">
        <w:rPr>
          <w:rFonts w:ascii="Inter" w:hAnsi="Inter"/>
        </w:rPr>
        <w:t>left</w:t>
      </w:r>
      <w:proofErr w:type="spellEnd"/>
      <w:r w:rsidRPr="00FE05A5">
        <w:rPr>
          <w:rFonts w:ascii="Inter" w:hAnsi="Inter"/>
        </w:rPr>
        <w:t>). </w:t>
      </w:r>
    </w:p>
    <w:p w14:paraId="5BA66814" w14:textId="77777777" w:rsidR="00FE05A5" w:rsidRDefault="00FE05A5" w:rsidP="00FE05A5">
      <w:pPr>
        <w:rPr>
          <w:rFonts w:ascii="Inter" w:hAnsi="Inter"/>
        </w:rPr>
      </w:pPr>
      <w:r w:rsidRPr="00FE05A5">
        <w:rPr>
          <w:rFonts w:ascii="Inter" w:hAnsi="Inter"/>
        </w:rPr>
        <w:t>Por fim, trabalhar com acessibilidade desenvolve uma visão mais empática nos programadores, incentivando o foco na experiência do usuário (UX). Isso resulta na criação de produtos mais intuitivos, funcionais e acessíveis para todos os usuários, não apenas para aqueles com deficiência. </w:t>
      </w:r>
    </w:p>
    <w:p w14:paraId="4185E462" w14:textId="77777777" w:rsidR="00FE05A5" w:rsidRDefault="00FE05A5" w:rsidP="00FE05A5">
      <w:pPr>
        <w:rPr>
          <w:rFonts w:ascii="Inter" w:hAnsi="Inter"/>
        </w:rPr>
      </w:pPr>
    </w:p>
    <w:p w14:paraId="71CEAAE2" w14:textId="77777777" w:rsidR="00FE05A5" w:rsidRDefault="00FE05A5" w:rsidP="00FE05A5">
      <w:pPr>
        <w:rPr>
          <w:rFonts w:ascii="Inter" w:hAnsi="Inter"/>
        </w:rPr>
      </w:pPr>
    </w:p>
    <w:p w14:paraId="349684FC" w14:textId="77777777" w:rsidR="00FE05A5" w:rsidRDefault="00FE05A5" w:rsidP="00FE05A5">
      <w:pPr>
        <w:rPr>
          <w:rFonts w:ascii="Inter" w:hAnsi="Inter"/>
        </w:rPr>
      </w:pPr>
    </w:p>
    <w:p w14:paraId="62521875" w14:textId="77777777" w:rsidR="00FE05A5" w:rsidRDefault="00FE05A5" w:rsidP="00FE05A5">
      <w:pPr>
        <w:rPr>
          <w:rFonts w:ascii="Inter" w:hAnsi="Inter"/>
        </w:rPr>
      </w:pPr>
    </w:p>
    <w:p w14:paraId="3223A25E" w14:textId="77777777" w:rsidR="00FE05A5" w:rsidRPr="00FE05A5" w:rsidRDefault="00FE05A5" w:rsidP="00FE05A5">
      <w:pPr>
        <w:rPr>
          <w:rFonts w:ascii="Inter" w:hAnsi="Inter"/>
        </w:rPr>
      </w:pPr>
    </w:p>
    <w:p w14:paraId="19F3A12F" w14:textId="77777777" w:rsidR="00FE05A5" w:rsidRPr="00FE05A5" w:rsidRDefault="00FE05A5" w:rsidP="00FE05A5">
      <w:pPr>
        <w:rPr>
          <w:rFonts w:ascii="Inter" w:hAnsi="Inter"/>
          <w:b/>
          <w:bCs/>
          <w:color w:val="0E2841" w:themeColor="text2"/>
        </w:rPr>
      </w:pPr>
      <w:r w:rsidRPr="00FE05A5">
        <w:rPr>
          <w:rFonts w:ascii="Inter" w:hAnsi="Inter"/>
          <w:b/>
          <w:bCs/>
          <w:color w:val="0E2841" w:themeColor="text2"/>
        </w:rPr>
        <w:lastRenderedPageBreak/>
        <w:t>Fontes: </w:t>
      </w:r>
    </w:p>
    <w:p w14:paraId="327B3A5A" w14:textId="77777777" w:rsidR="00FE05A5" w:rsidRPr="00FE05A5" w:rsidRDefault="00FE05A5" w:rsidP="00FE05A5">
      <w:pPr>
        <w:rPr>
          <w:rFonts w:ascii="Inter" w:hAnsi="Inter"/>
        </w:rPr>
      </w:pPr>
      <w:r w:rsidRPr="00FE05A5">
        <w:rPr>
          <w:rFonts w:ascii="Inter" w:hAnsi="Inter"/>
        </w:rPr>
        <w:t>W3C – Diretrizes WCAG </w:t>
      </w:r>
    </w:p>
    <w:p w14:paraId="3C7A63F7" w14:textId="731D376F" w:rsidR="00FE05A5" w:rsidRDefault="00FE05A5" w:rsidP="00FE05A5">
      <w:pPr>
        <w:rPr>
          <w:rFonts w:ascii="Inter" w:hAnsi="Inter"/>
        </w:rPr>
      </w:pPr>
      <w:hyperlink r:id="rId4" w:history="1">
        <w:r w:rsidRPr="00FE05A5">
          <w:rPr>
            <w:rStyle w:val="Hyperlink"/>
            <w:rFonts w:ascii="Inter" w:hAnsi="Inter"/>
          </w:rPr>
          <w:t>https://www.w3.org/WAI/standards-guidelines/wcag/</w:t>
        </w:r>
      </w:hyperlink>
      <w:r w:rsidRPr="00FE05A5">
        <w:rPr>
          <w:rFonts w:ascii="Inter" w:hAnsi="Inter"/>
        </w:rPr>
        <w:t> </w:t>
      </w:r>
    </w:p>
    <w:p w14:paraId="7E62F393" w14:textId="77777777" w:rsidR="00FE05A5" w:rsidRPr="00FE05A5" w:rsidRDefault="00FE05A5" w:rsidP="00FE05A5">
      <w:pPr>
        <w:rPr>
          <w:rFonts w:ascii="Inter" w:hAnsi="Inter"/>
        </w:rPr>
      </w:pPr>
    </w:p>
    <w:p w14:paraId="3E59C955" w14:textId="77777777" w:rsidR="00FE05A5" w:rsidRPr="00FE05A5" w:rsidRDefault="00FE05A5" w:rsidP="00FE05A5">
      <w:pPr>
        <w:rPr>
          <w:rFonts w:ascii="Inter" w:hAnsi="Inter"/>
        </w:rPr>
      </w:pPr>
      <w:proofErr w:type="spellStart"/>
      <w:r w:rsidRPr="00FE05A5">
        <w:rPr>
          <w:rFonts w:ascii="Inter" w:hAnsi="Inter"/>
        </w:rPr>
        <w:t>EqualWeb</w:t>
      </w:r>
      <w:proofErr w:type="spellEnd"/>
      <w:r w:rsidRPr="00FE05A5">
        <w:rPr>
          <w:rFonts w:ascii="Inter" w:hAnsi="Inter"/>
        </w:rPr>
        <w:t> </w:t>
      </w:r>
    </w:p>
    <w:p w14:paraId="158D8A1D" w14:textId="410FFC82" w:rsidR="00FE05A5" w:rsidRDefault="00FE05A5" w:rsidP="00FE05A5">
      <w:pPr>
        <w:rPr>
          <w:rFonts w:ascii="Inter" w:hAnsi="Inter"/>
        </w:rPr>
      </w:pPr>
      <w:hyperlink r:id="rId5" w:history="1">
        <w:r w:rsidRPr="00FE05A5">
          <w:rPr>
            <w:rStyle w:val="Hyperlink"/>
            <w:rFonts w:ascii="Inter" w:hAnsi="Inter"/>
          </w:rPr>
          <w:t>https://www.equalweb.com.br/</w:t>
        </w:r>
      </w:hyperlink>
    </w:p>
    <w:p w14:paraId="64675B66" w14:textId="77777777" w:rsidR="00FE05A5" w:rsidRPr="00FE05A5" w:rsidRDefault="00FE05A5" w:rsidP="00FE05A5">
      <w:pPr>
        <w:rPr>
          <w:rFonts w:ascii="Inter" w:hAnsi="Inter"/>
        </w:rPr>
      </w:pPr>
    </w:p>
    <w:p w14:paraId="71F831E8" w14:textId="77777777" w:rsidR="00FE05A5" w:rsidRPr="00FE05A5" w:rsidRDefault="00FE05A5" w:rsidP="00FE05A5">
      <w:pPr>
        <w:rPr>
          <w:rFonts w:ascii="Inter" w:hAnsi="Inter"/>
        </w:rPr>
      </w:pPr>
      <w:r w:rsidRPr="00FE05A5">
        <w:rPr>
          <w:rFonts w:ascii="Inter" w:hAnsi="Inter"/>
        </w:rPr>
        <w:t>Microsoft – Acessibilidade e inclusão </w:t>
      </w:r>
    </w:p>
    <w:p w14:paraId="599F7409" w14:textId="2498EEDC" w:rsidR="00FE05A5" w:rsidRDefault="00FE05A5" w:rsidP="00FE05A5">
      <w:pPr>
        <w:rPr>
          <w:rFonts w:ascii="Inter" w:hAnsi="Inter"/>
        </w:rPr>
      </w:pPr>
      <w:r w:rsidRPr="00FE05A5">
        <w:rPr>
          <w:rFonts w:ascii="Inter" w:hAnsi="Inter"/>
        </w:rPr>
        <w:t>https://www.microsoft.com/accessibility </w:t>
      </w:r>
    </w:p>
    <w:p w14:paraId="7B5C0F81" w14:textId="77777777" w:rsidR="00FE05A5" w:rsidRPr="00FE05A5" w:rsidRDefault="00FE05A5" w:rsidP="00FE05A5">
      <w:pPr>
        <w:rPr>
          <w:rFonts w:ascii="Inter" w:hAnsi="Inter"/>
        </w:rPr>
      </w:pPr>
    </w:p>
    <w:p w14:paraId="553366B1" w14:textId="77777777" w:rsidR="00FE05A5" w:rsidRPr="00FE05A5" w:rsidRDefault="00FE05A5" w:rsidP="00FE05A5">
      <w:pPr>
        <w:rPr>
          <w:rFonts w:ascii="Inter" w:hAnsi="Inter"/>
        </w:rPr>
      </w:pPr>
      <w:r w:rsidRPr="00FE05A5">
        <w:rPr>
          <w:rFonts w:ascii="Inter" w:hAnsi="Inter"/>
        </w:rPr>
        <w:t>Google – Práticas de acessibilidade </w:t>
      </w:r>
    </w:p>
    <w:p w14:paraId="2FF783F2" w14:textId="3C02C8E8" w:rsidR="00FE05A5" w:rsidRDefault="00FE05A5" w:rsidP="00FE05A5">
      <w:pPr>
        <w:rPr>
          <w:rFonts w:ascii="Inter" w:hAnsi="Inter"/>
        </w:rPr>
      </w:pPr>
      <w:hyperlink r:id="rId6" w:history="1">
        <w:r w:rsidRPr="00FE05A5">
          <w:rPr>
            <w:rStyle w:val="Hyperlink"/>
            <w:rFonts w:ascii="Inter" w:hAnsi="Inter"/>
          </w:rPr>
          <w:t>https://developers.google.com/accessibility</w:t>
        </w:r>
      </w:hyperlink>
      <w:r w:rsidRPr="00FE05A5">
        <w:rPr>
          <w:rFonts w:ascii="Inter" w:hAnsi="Inter"/>
        </w:rPr>
        <w:t> </w:t>
      </w:r>
    </w:p>
    <w:p w14:paraId="435D01A7" w14:textId="77777777" w:rsidR="00FE05A5" w:rsidRPr="00FE05A5" w:rsidRDefault="00FE05A5" w:rsidP="00FE05A5">
      <w:pPr>
        <w:rPr>
          <w:rFonts w:ascii="Inter" w:hAnsi="Inter"/>
        </w:rPr>
      </w:pPr>
    </w:p>
    <w:p w14:paraId="458DA71E" w14:textId="77777777" w:rsidR="00FE05A5" w:rsidRPr="00FE05A5" w:rsidRDefault="00FE05A5" w:rsidP="00FE05A5">
      <w:pPr>
        <w:rPr>
          <w:rFonts w:ascii="Inter" w:hAnsi="Inter"/>
        </w:rPr>
      </w:pPr>
      <w:r w:rsidRPr="00FE05A5">
        <w:rPr>
          <w:rFonts w:ascii="Inter" w:hAnsi="Inter"/>
        </w:rPr>
        <w:t>IBM – Design inclusivo </w:t>
      </w:r>
    </w:p>
    <w:p w14:paraId="6650F952" w14:textId="77777777" w:rsidR="00FE05A5" w:rsidRPr="00FE05A5" w:rsidRDefault="00FE05A5" w:rsidP="00FE05A5">
      <w:pPr>
        <w:rPr>
          <w:rFonts w:ascii="Inter" w:hAnsi="Inter"/>
        </w:rPr>
      </w:pPr>
      <w:hyperlink r:id="rId7" w:tgtFrame="_blank" w:history="1">
        <w:r w:rsidRPr="00FE05A5">
          <w:rPr>
            <w:rStyle w:val="Hyperlink"/>
            <w:rFonts w:ascii="Inter" w:hAnsi="Inter"/>
          </w:rPr>
          <w:t>https://www.ibm.com/able</w:t>
        </w:r>
      </w:hyperlink>
      <w:r w:rsidRPr="00FE05A5">
        <w:rPr>
          <w:rFonts w:ascii="Inter" w:hAnsi="Inter"/>
        </w:rPr>
        <w:t> </w:t>
      </w:r>
    </w:p>
    <w:p w14:paraId="6E0891E1" w14:textId="77777777" w:rsidR="00443B4B" w:rsidRDefault="00443B4B"/>
    <w:sectPr w:rsidR="00443B4B" w:rsidSect="00097ABF">
      <w:pgSz w:w="11910" w:h="16840"/>
      <w:pgMar w:top="1701" w:right="1134" w:bottom="1134" w:left="1701" w:header="839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A5"/>
    <w:rsid w:val="00097ABF"/>
    <w:rsid w:val="004207CB"/>
    <w:rsid w:val="00443B4B"/>
    <w:rsid w:val="00503B74"/>
    <w:rsid w:val="00A052D4"/>
    <w:rsid w:val="00A571B8"/>
    <w:rsid w:val="00D555C9"/>
    <w:rsid w:val="00DB5490"/>
    <w:rsid w:val="00FE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90692"/>
  <w15:chartTrackingRefBased/>
  <w15:docId w15:val="{21CBD6DA-1972-4671-BCAA-4FBE7670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0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0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0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0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0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0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05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0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05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0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0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05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05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05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0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05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05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E05A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0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bm.com/abl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s.google.com/accessibility" TargetMode="External"/><Relationship Id="rId5" Type="http://schemas.openxmlformats.org/officeDocument/2006/relationships/hyperlink" Target="https://www.equalweb.com.br/" TargetMode="External"/><Relationship Id="rId4" Type="http://schemas.openxmlformats.org/officeDocument/2006/relationships/hyperlink" Target="https://www.w3.org/WAI/standards-guidelines/wca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381</Words>
  <Characters>2211</Characters>
  <Application>Microsoft Office Word</Application>
  <DocSecurity>0</DocSecurity>
  <Lines>52</Lines>
  <Paragraphs>32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Shiniti Miasato</dc:creator>
  <cp:keywords/>
  <dc:description/>
  <cp:lastModifiedBy>Heitor Shiniti Miasato</cp:lastModifiedBy>
  <cp:revision>2</cp:revision>
  <dcterms:created xsi:type="dcterms:W3CDTF">2026-04-25T15:47:00Z</dcterms:created>
  <dcterms:modified xsi:type="dcterms:W3CDTF">2026-04-25T16:32:00Z</dcterms:modified>
</cp:coreProperties>
</file>