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00E55" w14:textId="77777777" w:rsidR="00770CDC" w:rsidRPr="00770CDC" w:rsidRDefault="00770CDC" w:rsidP="00770CDC">
      <w:pPr>
        <w:rPr>
          <w:rFonts w:ascii="Inter" w:hAnsi="Inter"/>
          <w:b/>
          <w:bCs/>
          <w:sz w:val="28"/>
          <w:szCs w:val="28"/>
        </w:rPr>
      </w:pPr>
      <w:r w:rsidRPr="00770CDC">
        <w:rPr>
          <w:rFonts w:ascii="Inter" w:hAnsi="Inter"/>
          <w:b/>
          <w:bCs/>
          <w:sz w:val="28"/>
          <w:szCs w:val="28"/>
        </w:rPr>
        <w:t>Como empresas de tecnologia líderes (Microsoft, Apple, Google) tratam a acessibilidade?</w:t>
      </w:r>
    </w:p>
    <w:p w14:paraId="06250285" w14:textId="77777777" w:rsidR="00B42750" w:rsidRPr="00770CDC" w:rsidRDefault="00B42750" w:rsidP="00B42750">
      <w:pPr>
        <w:rPr>
          <w:rFonts w:ascii="Inter" w:hAnsi="Inter"/>
        </w:rPr>
      </w:pPr>
    </w:p>
    <w:p w14:paraId="7456C943" w14:textId="04B746D5" w:rsidR="00B42750" w:rsidRPr="00770CDC" w:rsidRDefault="00B42750" w:rsidP="00B42750">
      <w:pPr>
        <w:rPr>
          <w:rFonts w:ascii="Inter" w:hAnsi="Inter"/>
          <w:b/>
          <w:bCs/>
          <w:color w:val="0E2841" w:themeColor="text2"/>
        </w:rPr>
      </w:pPr>
      <w:r w:rsidRPr="00770CDC">
        <w:rPr>
          <w:rFonts w:ascii="Inter" w:hAnsi="Inter"/>
          <w:b/>
          <w:bCs/>
          <w:color w:val="0E2841" w:themeColor="text2"/>
        </w:rPr>
        <w:t>Principais motivos que fazem uma empresa não implementar acessibilidade</w:t>
      </w:r>
    </w:p>
    <w:p w14:paraId="4074062D" w14:textId="77777777" w:rsidR="00B42750" w:rsidRPr="00770CDC" w:rsidRDefault="00B42750" w:rsidP="00B42750">
      <w:pPr>
        <w:rPr>
          <w:rFonts w:ascii="Inter" w:hAnsi="Inter"/>
        </w:rPr>
      </w:pPr>
    </w:p>
    <w:p w14:paraId="3E1DC97C" w14:textId="77777777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 xml:space="preserve">Acessibilidade não vira prioridade da empresa: Sem política interna, meta clara e apoio da liderança, a acessibilidade acaba sendo tratada como “extra” e não como requisito do produto. </w:t>
      </w:r>
    </w:p>
    <w:p w14:paraId="17C76B6C" w14:textId="77777777" w:rsidR="00B42750" w:rsidRPr="00770CDC" w:rsidRDefault="00B42750" w:rsidP="00B42750">
      <w:pPr>
        <w:rPr>
          <w:rFonts w:ascii="Inter" w:hAnsi="Inter"/>
        </w:rPr>
      </w:pPr>
    </w:p>
    <w:p w14:paraId="5870CBC0" w14:textId="77777777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>Falta de orçamento, tempo e pessoas capacitadas: O W3C diz que implementar acessibilidade exige orçamento para revisão, treinamento, auditorias, testes com usuários, ferramentas e, às vezes, especialistas externos. Quando a empresa não separa esses recursos, a acessibilidade costuma ficar incompleta.</w:t>
      </w:r>
    </w:p>
    <w:p w14:paraId="7A456375" w14:textId="77777777" w:rsidR="00B42750" w:rsidRPr="00770CDC" w:rsidRDefault="00B42750" w:rsidP="00B42750">
      <w:pPr>
        <w:rPr>
          <w:rFonts w:ascii="Inter" w:hAnsi="Inter"/>
        </w:rPr>
      </w:pPr>
    </w:p>
    <w:p w14:paraId="5305701F" w14:textId="77777777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>Ninguém “dono” do tema: Muitas empresas não definem quem é responsável por cada parte da acessibilidade. O W3C explica que, quando isso é deixado para o fim, tudo cai nas costas dos desenvolvedores, que acabam tendo de resolver problemas que também dependem de conteúdo, design e produto.</w:t>
      </w:r>
    </w:p>
    <w:p w14:paraId="12AB2F67" w14:textId="77777777" w:rsidR="00B42750" w:rsidRPr="00770CDC" w:rsidRDefault="00B42750" w:rsidP="00B42750">
      <w:pPr>
        <w:rPr>
          <w:rFonts w:ascii="Inter" w:hAnsi="Inter"/>
        </w:rPr>
      </w:pPr>
    </w:p>
    <w:p w14:paraId="4C464999" w14:textId="77777777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>Acessibilidade entra tarde demais: Quando a empresa tenta corrigir tudo só no final, o custo sobe e a chance de erro aumenta.</w:t>
      </w:r>
    </w:p>
    <w:p w14:paraId="3F8261DA" w14:textId="77777777" w:rsidR="00B42750" w:rsidRPr="00770CDC" w:rsidRDefault="00B42750" w:rsidP="00B42750">
      <w:pPr>
        <w:rPr>
          <w:rFonts w:ascii="Inter" w:hAnsi="Inter"/>
        </w:rPr>
      </w:pPr>
    </w:p>
    <w:p w14:paraId="07F0B7EC" w14:textId="77777777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>Falta teste com pessoas com deficiência: Teste automático ajuda, mas não resolve tudo. O W3C recomenda incluir usuários com deficiência nas avaliações para encontrar barreiras que não aparecem só com ferramenta técnica.</w:t>
      </w:r>
    </w:p>
    <w:p w14:paraId="38CC9667" w14:textId="77777777" w:rsidR="00B42750" w:rsidRPr="00770CDC" w:rsidRDefault="00B42750" w:rsidP="00B42750">
      <w:pPr>
        <w:rPr>
          <w:rFonts w:ascii="Inter" w:hAnsi="Inter"/>
        </w:rPr>
      </w:pPr>
    </w:p>
    <w:p w14:paraId="1BB2B3B4" w14:textId="77777777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 xml:space="preserve">Dependência de terceiros e sistemas complexos: Frameworks, bibliotecas, componentes prontos, CMS e integrações externas dificultam manter acessibilidade. O relatório WebAIM Million 2026 aponta que o aumento da complexidade das páginas e do uso de frameworks de terceiros está </w:t>
      </w:r>
      <w:r w:rsidRPr="00770CDC">
        <w:rPr>
          <w:rFonts w:ascii="Inter" w:hAnsi="Inter"/>
        </w:rPr>
        <w:lastRenderedPageBreak/>
        <w:t>correlacionado com mais erros de acessibilidade e torna a conformidade mais difícil de alcançar e manter.</w:t>
      </w:r>
    </w:p>
    <w:p w14:paraId="3FFA859F" w14:textId="77777777" w:rsidR="00B42750" w:rsidRPr="00770CDC" w:rsidRDefault="00B42750" w:rsidP="00B42750">
      <w:pPr>
        <w:rPr>
          <w:rFonts w:ascii="Inter" w:hAnsi="Inter"/>
        </w:rPr>
      </w:pPr>
    </w:p>
    <w:p w14:paraId="18C2C43C" w14:textId="2A09E72F" w:rsidR="00B42750" w:rsidRPr="00770CDC" w:rsidRDefault="00B42750" w:rsidP="00B42750">
      <w:pPr>
        <w:rPr>
          <w:rFonts w:ascii="Inter" w:hAnsi="Inter"/>
          <w:b/>
          <w:bCs/>
          <w:color w:val="0E2841" w:themeColor="text2"/>
        </w:rPr>
      </w:pPr>
      <w:r w:rsidRPr="00770CDC">
        <w:rPr>
          <w:rFonts w:ascii="Inter" w:hAnsi="Inter"/>
          <w:b/>
          <w:bCs/>
          <w:color w:val="0E2841" w:themeColor="text2"/>
        </w:rPr>
        <w:t>Exemplo empresa grande: Dominos</w:t>
      </w:r>
    </w:p>
    <w:p w14:paraId="0AD8EC21" w14:textId="77777777" w:rsidR="00B42750" w:rsidRPr="00770CDC" w:rsidRDefault="00B42750" w:rsidP="00B42750">
      <w:pPr>
        <w:rPr>
          <w:rFonts w:ascii="Inter" w:hAnsi="Inter"/>
        </w:rPr>
      </w:pPr>
    </w:p>
    <w:p w14:paraId="02EEEAF9" w14:textId="58F6B05E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>Um exemplo muito forte é a Domino’s Pizza.</w:t>
      </w:r>
    </w:p>
    <w:p w14:paraId="22B8F646" w14:textId="77777777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>No caso Robles v. Domino’s Pizza, um cliente cego alegou que o site e o app da empresa não eram acessíveis com leitor de tela para fazer pedidos. Em 2019, a Corte de Apelações do Nono Circuito decidiu que a ação podia seguir e registrou que a alegação era de que a Domino’s havia falhado em projetar, construir, manter e operar seu site e aplicativo de forma plenamente acessível. O tribunal também destacou que o site e o app estavam ligados ao serviço das lojas físicas, como fazer pedidos e obter ofertas.</w:t>
      </w:r>
    </w:p>
    <w:p w14:paraId="2CCCAE87" w14:textId="77777777" w:rsidR="00B42750" w:rsidRPr="00770CDC" w:rsidRDefault="00B42750" w:rsidP="00B42750">
      <w:pPr>
        <w:rPr>
          <w:rFonts w:ascii="Inter" w:hAnsi="Inter"/>
        </w:rPr>
      </w:pPr>
    </w:p>
    <w:p w14:paraId="43504C61" w14:textId="77777777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>Isso mostra que implementar acessibilidade em seus projetos vai muito além de uma tecnologia de alta qualidade</w:t>
      </w:r>
    </w:p>
    <w:p w14:paraId="456610DA" w14:textId="20768E10" w:rsidR="00B42750" w:rsidRPr="00770CDC" w:rsidRDefault="003A3DD1" w:rsidP="00B42750">
      <w:pPr>
        <w:rPr>
          <w:rFonts w:ascii="Inter" w:hAnsi="Inter"/>
        </w:rPr>
      </w:pPr>
      <w:r>
        <w:rPr>
          <w:rFonts w:ascii="Inter" w:hAnsi="Inter"/>
        </w:rPr>
        <w:tab/>
      </w:r>
      <w:r>
        <w:rPr>
          <w:rFonts w:ascii="Inter" w:hAnsi="Inter"/>
        </w:rPr>
        <w:tab/>
      </w:r>
    </w:p>
    <w:p w14:paraId="3611D0B5" w14:textId="26977E79" w:rsidR="00B42750" w:rsidRPr="00770CDC" w:rsidRDefault="00B42750" w:rsidP="00B42750">
      <w:pPr>
        <w:rPr>
          <w:rFonts w:ascii="Inter" w:hAnsi="Inter"/>
          <w:b/>
          <w:bCs/>
          <w:color w:val="0E2841" w:themeColor="text2"/>
          <w:sz w:val="36"/>
          <w:szCs w:val="36"/>
        </w:rPr>
      </w:pPr>
      <w:r w:rsidRPr="00770CDC">
        <w:rPr>
          <w:rFonts w:ascii="Inter" w:hAnsi="Inter"/>
          <w:b/>
          <w:bCs/>
          <w:color w:val="0E2841" w:themeColor="text2"/>
          <w:sz w:val="36"/>
          <w:szCs w:val="36"/>
        </w:rPr>
        <w:t xml:space="preserve">Como empresas grandes lidam </w:t>
      </w:r>
    </w:p>
    <w:p w14:paraId="328484DD" w14:textId="77777777" w:rsidR="00B42750" w:rsidRPr="00770CDC" w:rsidRDefault="00B42750" w:rsidP="00B42750">
      <w:pPr>
        <w:rPr>
          <w:rFonts w:ascii="Inter" w:hAnsi="Inter"/>
        </w:rPr>
      </w:pPr>
    </w:p>
    <w:p w14:paraId="027075A5" w14:textId="7FAA3A63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>De forma geral, as três tratam acessibilidade como algo que deve entrar desde o projeto do produto, não só como correção no fim. Em comum, elas destacam três frentes: recursos nativos para usuários, padrões e testes para desenvolvedores e processos internos de design inclusivo/compliance.</w:t>
      </w:r>
    </w:p>
    <w:p w14:paraId="0B26E9EA" w14:textId="77777777" w:rsidR="00B42750" w:rsidRPr="00770CDC" w:rsidRDefault="00B42750" w:rsidP="00B42750">
      <w:pPr>
        <w:rPr>
          <w:rFonts w:ascii="Inter" w:hAnsi="Inter"/>
        </w:rPr>
      </w:pPr>
    </w:p>
    <w:p w14:paraId="18F2C36C" w14:textId="20E9EA8E" w:rsidR="00B42750" w:rsidRPr="00770CDC" w:rsidRDefault="00B42750" w:rsidP="00B42750">
      <w:pPr>
        <w:rPr>
          <w:rFonts w:ascii="Inter" w:hAnsi="Inter"/>
          <w:b/>
          <w:bCs/>
          <w:color w:val="0E2841" w:themeColor="text2"/>
          <w:sz w:val="28"/>
          <w:szCs w:val="28"/>
        </w:rPr>
      </w:pPr>
      <w:r w:rsidRPr="00770CDC">
        <w:rPr>
          <w:rFonts w:ascii="Inter" w:hAnsi="Inter"/>
          <w:b/>
          <w:bCs/>
          <w:color w:val="0E2841" w:themeColor="text2"/>
          <w:sz w:val="28"/>
          <w:szCs w:val="28"/>
        </w:rPr>
        <w:t>Microsoft</w:t>
      </w:r>
    </w:p>
    <w:p w14:paraId="343FCEB1" w14:textId="77777777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 xml:space="preserve">A Microsoft diz que sua abordagem é guiada por transparência, inclusão e responsabilidade. Ela declara alinhamento com padrões como WCAG, Section 508 e EN 301 549 e publica Accessibility Conformance Reports (ACRs) para seus produtos. Além disso, em sua documentação para Windows, recomenda estabelecer design inclusivo como requisito do produto e preferir controles nativos da plataforma para aproveitar suporte </w:t>
      </w:r>
      <w:r w:rsidRPr="00770CDC">
        <w:rPr>
          <w:rFonts w:ascii="Inter" w:hAnsi="Inter"/>
        </w:rPr>
        <w:lastRenderedPageBreak/>
        <w:t>interno de acessibilidade e reduzir manutenção de soluções personalizadas.</w:t>
      </w:r>
    </w:p>
    <w:p w14:paraId="0EE92895" w14:textId="77777777" w:rsidR="00B42750" w:rsidRPr="00770CDC" w:rsidRDefault="00B42750" w:rsidP="00B42750">
      <w:pPr>
        <w:rPr>
          <w:rFonts w:ascii="Inter" w:hAnsi="Inter"/>
        </w:rPr>
      </w:pPr>
    </w:p>
    <w:p w14:paraId="58FBC4EE" w14:textId="48D7FC03" w:rsidR="00B42750" w:rsidRPr="00770CDC" w:rsidRDefault="00B42750" w:rsidP="00B42750">
      <w:pPr>
        <w:rPr>
          <w:rFonts w:ascii="Inter" w:hAnsi="Inter"/>
          <w:b/>
          <w:bCs/>
          <w:color w:val="0E2841" w:themeColor="text2"/>
          <w:sz w:val="28"/>
          <w:szCs w:val="28"/>
        </w:rPr>
      </w:pPr>
      <w:r w:rsidRPr="00770CDC">
        <w:rPr>
          <w:rFonts w:ascii="Inter" w:hAnsi="Inter"/>
          <w:b/>
          <w:bCs/>
          <w:color w:val="0E2841" w:themeColor="text2"/>
          <w:sz w:val="28"/>
          <w:szCs w:val="28"/>
        </w:rPr>
        <w:t>Apple</w:t>
      </w:r>
    </w:p>
    <w:p w14:paraId="4DBEB59A" w14:textId="77777777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>A Apple trata acessibilidade como “accessible by design”: os produtos e serviços vêm com recursos integrados para visão, audição, fala, mobilidade e cognição. Na parte para desenvolvedores, a Apple orienta usar os gestos mais simples possíveis, evitar gestos personalizados complexos, oferecer alternativas aos gestos e garantir que funções principais também possam ser usadas por VoiceOver, Voice Control, AssistiveTouch e outros recursos assistivos. Ou seja, a Apple trabalha acessibilidade como parte do desenho da interface, não como remendo posterior.</w:t>
      </w:r>
    </w:p>
    <w:p w14:paraId="2849B84D" w14:textId="77777777" w:rsidR="00B42750" w:rsidRPr="00770CDC" w:rsidRDefault="00B42750" w:rsidP="00B42750">
      <w:pPr>
        <w:rPr>
          <w:rFonts w:ascii="Inter" w:hAnsi="Inter"/>
        </w:rPr>
      </w:pPr>
    </w:p>
    <w:p w14:paraId="679EB5CD" w14:textId="20EBE24C" w:rsidR="00B42750" w:rsidRPr="00770CDC" w:rsidRDefault="00B42750" w:rsidP="00B42750">
      <w:pPr>
        <w:rPr>
          <w:rFonts w:ascii="Inter" w:hAnsi="Inter"/>
          <w:b/>
          <w:bCs/>
          <w:color w:val="0E2841" w:themeColor="text2"/>
          <w:sz w:val="28"/>
          <w:szCs w:val="28"/>
        </w:rPr>
      </w:pPr>
      <w:r w:rsidRPr="00770CDC">
        <w:rPr>
          <w:rFonts w:ascii="Inter" w:hAnsi="Inter"/>
          <w:b/>
          <w:bCs/>
          <w:color w:val="0E2841" w:themeColor="text2"/>
          <w:sz w:val="28"/>
          <w:szCs w:val="28"/>
        </w:rPr>
        <w:t>Google</w:t>
      </w:r>
    </w:p>
    <w:p w14:paraId="62A8D272" w14:textId="4EB17747" w:rsidR="00B42750" w:rsidRPr="00770CDC" w:rsidRDefault="00B42750" w:rsidP="00B42750">
      <w:pPr>
        <w:rPr>
          <w:rFonts w:ascii="Inter" w:hAnsi="Inter"/>
        </w:rPr>
      </w:pPr>
      <w:r w:rsidRPr="00770CDC">
        <w:rPr>
          <w:rFonts w:ascii="Inter" w:hAnsi="Inter"/>
        </w:rPr>
        <w:t>O Google afirma que a acessibilidade é tratada desde os primeiros estágios de concepção até o lançamento. A empresa diz ter uma equipe central de acessibilidade que monitora o estado de acessibilidade dos produtos e coordena treinamentos, testes e consultoria, além de buscar feedback de usuários e grupos de defesa. Também oferece recursos práticos como o Accessibility Scanner para ajudar desenvolvedores Android a encontrar problemas em apps.</w:t>
      </w:r>
    </w:p>
    <w:p w14:paraId="66F2EA73" w14:textId="77777777" w:rsidR="00B42750" w:rsidRPr="00770CDC" w:rsidRDefault="00B42750" w:rsidP="00B42750">
      <w:pPr>
        <w:jc w:val="center"/>
        <w:rPr>
          <w:rFonts w:ascii="Inter" w:hAnsi="Inter"/>
        </w:rPr>
      </w:pPr>
    </w:p>
    <w:p w14:paraId="31327177" w14:textId="77777777" w:rsidR="00B42750" w:rsidRPr="00B42750" w:rsidRDefault="00B42750" w:rsidP="00B42750">
      <w:pPr>
        <w:rPr>
          <w:b/>
          <w:bCs/>
        </w:rPr>
      </w:pPr>
    </w:p>
    <w:sectPr w:rsidR="00B42750" w:rsidRPr="00B427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ter">
    <w:panose1 w:val="02000503000000020004"/>
    <w:charset w:val="00"/>
    <w:family w:val="auto"/>
    <w:pitch w:val="variable"/>
    <w:sig w:usb0="E00002FF" w:usb1="1200A1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750"/>
    <w:rsid w:val="002C43AC"/>
    <w:rsid w:val="003A3DD1"/>
    <w:rsid w:val="004207CB"/>
    <w:rsid w:val="00547F2F"/>
    <w:rsid w:val="00713A53"/>
    <w:rsid w:val="00770CDC"/>
    <w:rsid w:val="00782DA7"/>
    <w:rsid w:val="00B42750"/>
    <w:rsid w:val="00FB4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37A8DD"/>
  <w15:chartTrackingRefBased/>
  <w15:docId w15:val="{6666DF51-BF79-4A25-855F-A7AA210352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42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42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42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2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42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42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42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42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42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42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42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42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427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427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427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427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427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427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42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42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42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42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42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427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427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427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42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427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427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50223-D343-450E-8C63-3F346EF008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628</Words>
  <Characters>3562</Characters>
  <Application>Microsoft Office Word</Application>
  <DocSecurity>0</DocSecurity>
  <Lines>90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Cesar Pereira De Menezes</dc:creator>
  <cp:keywords/>
  <dc:description/>
  <cp:lastModifiedBy>Heitor Shiniti Miasato</cp:lastModifiedBy>
  <cp:revision>6</cp:revision>
  <dcterms:created xsi:type="dcterms:W3CDTF">2026-04-22T14:40:00Z</dcterms:created>
  <dcterms:modified xsi:type="dcterms:W3CDTF">2026-04-25T18:15:00Z</dcterms:modified>
</cp:coreProperties>
</file>