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0"/>
        </w:numPr>
      </w:pPr>
      <w:r>
        <w:t xml:space="preserve">Bạn có Gmail A và B trong Sino, kết nối lại A nhưng chọn nhầm B: vì sao Sino không được thu hồi token vừa nhận?</w:t>
      </w:r>
    </w:p>
    <w:p>
      <w:pPr>
        <w:pStyle w:val="ListParagraph"/>
        <w:numPr>
          <w:ilvl w:val="0"/>
          <w:numId w:val="100"/>
        </w:numPr>
      </w:pPr>
      <w:r>
        <w:t xml:space="preserve">Nếu gửi lệnh thu hồi trước khi commit mà transaction rollback thì chuyện gì xảy ra với account đó?</w:t>
      </w:r>
    </w:p>
    <w:p>
      <w:pPr>
        <w:pStyle w:val="ListParagraph"/>
        <w:numPr>
          <w:ilvl w:val="0"/>
          <w:numId w:val="100"/>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0"/>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0"/>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0"/>
        </w:numPr>
      </w:pPr>
      <w:r>
        <w:t xml:space="preserve">Vì sao mốc thời gian chỉ nằm ở cursor khởi tạo mà không ở mọi cursor?</w:t>
      </w:r>
    </w:p>
    <w:p>
      <w:pPr>
        <w:pStyle w:val="ListParagraph"/>
        <w:numPr>
          <w:ilvl w:val="0"/>
          <w:numId w:val="100"/>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0"/>
        </w:numPr>
      </w:pPr>
      <w:r>
        <w:t xml:space="preserve">Test "mọi thư đều sau mốc" xanh với một batch rỗng: test đó còn chứng minh được gì?</w:t>
      </w:r>
    </w:p>
    <w:p>
      <w:pPr>
        <w:pStyle w:val="ListParagraph"/>
        <w:numPr>
          <w:ilvl w:val="0"/>
          <w:numId w:val="100"/>
        </w:numPr>
      </w:pPr>
      <w:r>
        <w:t xml:space="preserve">Vì sao một lần kiểm tra ngược báo "test nào cũng bắt được lỗi" vẫn có thể là kết quả sai?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