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02, 2026</w:t>
      </w:r>
    </w:p>
    <w:p>
      <w:r>
        <w:t>Re: Test Engineer — Gaming Laboratories International, LLC</w:t>
      </w:r>
    </w:p>
    <w:p/>
    <w:p>
      <w:r>
        <w:t>Hi Gaming Laboratories International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Test Engineer caught my attention because it focuses heavily on evaluating technical requirements, executing tests accurately, and documenting results with a high degree of care. Throughout my career in quality assurance, I have spent years reviewing requirements, working with developers and clients, and tracking defects closely to make sure products meet high standards. I also bring hands-on experience with modern scripting tools, including using Gemini Code Assist to streamline test generation workflows.</w:t>
      </w:r>
    </w:p>
    <w:p>
      <w:r>
        <w:t>I appreciate the care your team puts into protecting casino and gambling markets through thorough testing and regulatory compliance. Working in regulated environments has taught me how important attention to detail and clear documentation are for successful product delivery.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2026-09-02T10:54:58Z</dcterms:created>
  <dcterms:modified xsi:type="dcterms:W3CDTF">2026-09-02T11:06:46Z</dcterms:modified>
  <cp:category/>
  <cp:contentStatus/>
</cp:coreProperties>
</file>