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working with financial clients, focusing on process optimization, control testing, and data validation. Brings a strong background in defining test strategies, collaborating with stakeholders, and ensuring system reliability. Currently holds a valid EU residence permit and is based in Amstelveen, ready to contribute to ASN Bank's Non Financial Risk framework.</w:t>
      </w:r>
    </w:p>
    <w:p>
      <w:pPr>
        <w:pStyle w:val="Heading1"/>
      </w:pPr>
      <w:r>
        <w:t xml:space="preserve"> KEY QUALIFICATIONS FOR TARGET ROLE</w:t>
      </w:r>
    </w:p>
    <w:p>
      <w:r>
        <w:t>▸ Reviewed and executed control testscripts and test results, ensuring accuracy, completeness, and alignment with operational risks and control objectives for global financial clients.</w:t>
      </w:r>
    </w:p>
    <w:p>
      <w:r>
        <w:t>▸ Collaborated closely with crossfunctional teams, SREs, and product owners to translate business requirements into robust testing strategies and improve issue and incident management processes.</w:t>
      </w:r>
    </w:p>
    <w:p>
      <w:r>
        <w:t>▸ Utilized advanced data validation techniques, including complex Oracle SQL queries, to verify massive datasets and ensure strict data integrity across backend risk workflows.</w:t>
      </w:r>
    </w:p>
    <w:p>
      <w:r>
        <w:t>▸ Documented standard operating procedures and trained teams on testing standards, significantly improving operational efficiency and defect tracking alignment.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